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920A" w:sz="12" w:space="8"/>
        </w:pBdr>
        <w:spacing w:after="40" w:before="200"/>
      </w:pPr>
      <w:r>
        <w:rPr>
          <w:b/>
          <w:bCs/>
          <w:color w:val="0D1117"/>
          <w:sz w:val="52"/>
          <w:szCs w:val="52"/>
        </w:rPr>
        <w:t xml:space="preserve">IOM Starter Kit</w:t>
      </w:r>
    </w:p>
    <w:p>
      <w:pPr>
        <w:spacing w:after="260"/>
      </w:pPr>
      <w:r>
        <w:rPr>
          <w:i/>
          <w:iCs/>
          <w:color w:val="4A5568"/>
          <w:sz w:val="24"/>
          <w:szCs w:val="24"/>
        </w:rPr>
        <w:t xml:space="preserve">Infrastructure Operating Model — Practitioner’s guide to maturity, tool mapping, and adoption planning</w:t>
      </w:r>
    </w:p>
    <w:p>
      <w:pPr>
        <w:spacing w:after="120" w:line="276"/>
      </w:pPr>
      <w:r>
        <w:rPr>
          <w:b/>
          <w:bCs/>
          <w:sz w:val="21"/>
          <w:szCs w:val="21"/>
        </w:rPr>
        <w:t xml:space="preserve">Published by theIOM.org</w:t>
      </w:r>
      <w:r>
        <w:rPr>
          <w:sz w:val="21"/>
          <w:szCs w:val="21"/>
        </w:rPr>
        <w:t xml:space="preserve">  ·  Aligned to IOM Standard v1.0 (proposed open standard — draft)</w:t>
      </w:r>
    </w:p>
    <w:p>
      <w:pPr>
        <w:spacing w:after="120" w:line="276"/>
      </w:pPr>
      <w:r>
        <w:rPr>
          <w:i/>
          <w:iCs/>
          <w:sz w:val="21"/>
          <w:szCs w:val="21"/>
        </w:rPr>
        <w:t xml:space="preserve">For practitioners, architects, and infrastructure leaders evaluating IOM readiness in their organization.</w:t>
      </w:r>
    </w:p>
    <w:p>
      <w:pPr>
        <w:pStyle w:val="Heading1"/>
      </w:pPr>
      <w:r>
        <w:rPr>
          <w:color w:val="1B2D4F"/>
        </w:rPr>
        <w:t xml:space="preserve">How to use this kit</w:t>
      </w:r>
    </w:p>
    <w:p>
      <w:pPr>
        <w:spacing w:after="120" w:line="276"/>
      </w:pPr>
      <w:r>
        <w:rPr>
          <w:sz w:val="21"/>
          <w:szCs w:val="21"/>
        </w:rPr>
        <w:t xml:space="preserve">This starter kit is a working document. It is designed to be completed by infrastructure and platform leaders — individually or as a facilitated team exercise — and to produce a concrete, organization-specific picture of IOM readiness and a structured path forward.</w:t>
      </w:r>
    </w:p>
    <w:p>
      <w:pPr>
        <w:spacing w:after="120" w:line="276"/>
      </w:pPr>
      <w:r>
        <w:rPr>
          <w:b/>
          <w:bCs/>
          <w:sz w:val="21"/>
          <w:szCs w:val="21"/>
        </w:rPr>
        <w:t xml:space="preserve">What this kit contains</w:t>
      </w:r>
    </w:p>
    <w:p>
      <w:pPr>
        <w:pStyle w:val="ListParagraph"/>
        <w:numPr>
          <w:ilvl w:val="0"/>
          <w:numId w:val="2"/>
        </w:numPr>
        <w:spacing w:after="60" w:line="264"/>
      </w:pPr>
      <w:r>
        <w:rPr>
          <w:b/>
          <w:bCs/>
          <w:sz w:val="21"/>
          <w:szCs w:val="21"/>
        </w:rPr>
        <w:t xml:space="preserve">Part 1 — Maturity Assessment  </w:t>
      </w:r>
      <w:r>
        <w:rPr>
          <w:sz w:val="21"/>
          <w:szCs w:val="21"/>
        </w:rPr>
        <w:t xml:space="preserve">Score your organization across the six IOM capability dimensions. Identify where you are today.</w:t>
      </w:r>
    </w:p>
    <w:p>
      <w:pPr>
        <w:pStyle w:val="ListParagraph"/>
        <w:numPr>
          <w:ilvl w:val="0"/>
          <w:numId w:val="2"/>
        </w:numPr>
        <w:spacing w:after="60" w:line="264"/>
      </w:pPr>
      <w:r>
        <w:rPr>
          <w:b/>
          <w:bCs/>
          <w:sz w:val="21"/>
          <w:szCs w:val="21"/>
        </w:rPr>
        <w:t xml:space="preserve">Part 2 — Tool Mapping Worksheet  </w:t>
      </w:r>
      <w:r>
        <w:rPr>
          <w:sz w:val="21"/>
          <w:szCs w:val="21"/>
        </w:rPr>
        <w:t xml:space="preserve">Map your existing tools against IOM requirements and surface the structural gaps.</w:t>
      </w:r>
    </w:p>
    <w:p>
      <w:pPr>
        <w:pStyle w:val="ListParagraph"/>
        <w:numPr>
          <w:ilvl w:val="0"/>
          <w:numId w:val="2"/>
        </w:numPr>
        <w:spacing w:after="60" w:line="264"/>
      </w:pPr>
      <w:r>
        <w:rPr>
          <w:b/>
          <w:bCs/>
          <w:sz w:val="21"/>
          <w:szCs w:val="21"/>
        </w:rPr>
        <w:t xml:space="preserve">Part 3 — Gap Analysis  </w:t>
      </w:r>
      <w:r>
        <w:rPr>
          <w:sz w:val="21"/>
          <w:szCs w:val="21"/>
        </w:rPr>
        <w:t xml:space="preserve">Translate your maturity scores and tool gaps into a prioritized gap inventory.</w:t>
      </w:r>
    </w:p>
    <w:p>
      <w:pPr>
        <w:pStyle w:val="ListParagraph"/>
        <w:numPr>
          <w:ilvl w:val="0"/>
          <w:numId w:val="2"/>
        </w:numPr>
        <w:spacing w:after="60" w:line="264"/>
      </w:pPr>
      <w:r>
        <w:rPr>
          <w:b/>
          <w:bCs/>
          <w:sz w:val="21"/>
          <w:szCs w:val="21"/>
        </w:rPr>
        <w:t xml:space="preserve">Part 4 — Adoption Roadmap  </w:t>
      </w:r>
      <w:r>
        <w:rPr>
          <w:sz w:val="21"/>
          <w:szCs w:val="21"/>
        </w:rPr>
        <w:t xml:space="preserve">Plan your IOM adoption in four phases with milestones, owners, and success criteria.</w:t>
      </w:r>
    </w:p>
    <w:p>
      <w:pPr>
        <w:pStyle w:val="ListParagraph"/>
        <w:numPr>
          <w:ilvl w:val="0"/>
          <w:numId w:val="2"/>
        </w:numPr>
        <w:spacing w:after="60" w:line="264"/>
      </w:pPr>
      <w:r>
        <w:rPr>
          <w:b/>
          <w:bCs/>
          <w:sz w:val="21"/>
          <w:szCs w:val="21"/>
        </w:rPr>
        <w:t xml:space="preserve">Part 5 — IOM Conformance Checklist  </w:t>
      </w:r>
      <w:r>
        <w:rPr>
          <w:sz w:val="21"/>
          <w:szCs w:val="21"/>
        </w:rPr>
        <w:t xml:space="preserve">Evaluate any solution claiming IOM capability against the standard's mandatory requirements.</w:t>
      </w:r>
    </w:p>
    <w:p>
      <w:pPr>
        <w:pStyle w:val="Heading3"/>
      </w:pPr>
      <w:r>
        <w:rPr>
          <w:color w:val="1B2D4F"/>
        </w:rPr>
        <w:t xml:space="preserve">Recommended facilitation approach</w:t>
      </w:r>
    </w:p>
    <w:p>
      <w:pPr>
        <w:spacing w:after="120" w:line="276"/>
      </w:pPr>
      <w:r>
        <w:rPr>
          <w:sz w:val="21"/>
          <w:szCs w:val="21"/>
        </w:rPr>
        <w:t xml:space="preserve">This kit works best as a structured half-day workshop with 4–6 participants spanning infrastructure engineering, security, platform, and architecture. The maturity assessment (Part 1) typically takes 60–90 minutes and generates the most valuable organizational alignment. Parts 2–4 can follow in a second session.</w:t>
      </w:r>
    </w:p>
    <w:p>
      <w:pPr>
        <w:pStyle w:val="ListParagraph"/>
        <w:numPr>
          <w:ilvl w:val="0"/>
          <w:numId w:val="2"/>
        </w:numPr>
        <w:spacing w:after="60" w:line="264"/>
      </w:pPr>
      <w:r>
        <w:rPr>
          <w:sz w:val="21"/>
          <w:szCs w:val="21"/>
        </w:rPr>
        <w:t xml:space="preserve">Assign a facilitator to read each capability dimension aloud and lead scoring discussion</w:t>
      </w:r>
    </w:p>
    <w:p>
      <w:pPr>
        <w:pStyle w:val="ListParagraph"/>
        <w:numPr>
          <w:ilvl w:val="0"/>
          <w:numId w:val="2"/>
        </w:numPr>
        <w:spacing w:after="60" w:line="264"/>
      </w:pPr>
      <w:r>
        <w:rPr>
          <w:sz w:val="21"/>
          <w:szCs w:val="21"/>
        </w:rPr>
        <w:t xml:space="preserve">Record dissenting views — disagreement on scores reveals organizational ambiguity about ownership and intent</w:t>
      </w:r>
    </w:p>
    <w:p>
      <w:pPr>
        <w:pStyle w:val="ListParagraph"/>
        <w:numPr>
          <w:ilvl w:val="0"/>
          <w:numId w:val="2"/>
        </w:numPr>
        <w:spacing w:after="60" w:line="264"/>
      </w:pPr>
      <w:r>
        <w:rPr>
          <w:sz w:val="21"/>
          <w:szCs w:val="21"/>
        </w:rPr>
        <w:t xml:space="preserve">Do not score aspirationally — score where the capability reliably exists today, not where it exists in isolated pockets</w:t>
      </w:r>
    </w:p>
    <w:p>
      <w:pPr>
        <w:pStyle w:val="ListParagraph"/>
        <w:numPr>
          <w:ilvl w:val="0"/>
          <w:numId w:val="2"/>
        </w:numPr>
        <w:spacing w:after="60" w:line="264"/>
      </w:pPr>
      <w:r>
        <w:rPr>
          <w:sz w:val="21"/>
          <w:szCs w:val="21"/>
        </w:rPr>
        <w:t xml:space="preserve">Complete Part 3 (Gap Analysis) immediately after Part 1 while scores are fresh</w:t>
      </w:r>
    </w:p>
    <w:p>
      <w:pPr>
        <w:pBdr>
          <w:left w:val="single" w:color="C8920A" w:sz="18" w:space="14"/>
        </w:pBdr>
        <w:shd w:fill="F2EFE8" w:val="clear"/>
        <w:spacing w:after="120" w:before="80" w:line="264"/>
        <w:ind w:left="240"/>
      </w:pPr>
      <w:r>
        <w:rPr>
          <w:b/>
          <w:bCs/>
          <w:sz w:val="20"/>
          <w:szCs w:val="20"/>
        </w:rPr>
        <w:t xml:space="preserve">Scoring discipline</w:t>
      </w:r>
      <w:r>
        <w:rPr>
          <w:sz w:val="20"/>
          <w:szCs w:val="20"/>
        </w:rPr>
        <w:t xml:space="preserve"> The most common mistake in maturity assessments is aspirational scoring. Score the capability as it reliably exists across your environment — not as it exists in your best team, your newest platform, or your most recent initiative. Gaps scored accurately are gaps you can close. Gaps scored generously are risks you carry invisibly.</w:t>
      </w:r>
    </w:p>
    <w:p>
      <w:pPr>
        <w:spacing w:after="20" w:before="260"/>
      </w:pPr>
      <w:r>
        <w:rPr>
          <w:b/>
          <w:bCs/>
          <w:color w:val="C8920A"/>
          <w:spacing w:val="40"/>
          <w:sz w:val="16"/>
          <w:szCs w:val="16"/>
        </w:rPr>
        <w:t xml:space="preserve">PART 1</w:t>
      </w:r>
    </w:p>
    <w:p>
      <w:pPr>
        <w:pStyle w:val="Heading1"/>
      </w:pPr>
      <w:r>
        <w:rPr>
          <w:color w:val="1B2D4F"/>
        </w:rPr>
        <w:t xml:space="preserve">IOM Maturity Assessment</w:t>
      </w:r>
    </w:p>
    <w:p>
      <w:pPr>
        <w:spacing w:after="120" w:line="276"/>
      </w:pPr>
      <w:r>
        <w:rPr>
          <w:sz w:val="21"/>
          <w:szCs w:val="21"/>
        </w:rPr>
        <w:t xml:space="preserve">Score your organization on each of the six IOM capability dimensions using the scale below. Each dimension is assessed across four sub-criteria on a 0–3 scale (None → Partial → Defined → Governed), for a maximum of 12 points per dimension and 72 overall.</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40"/>
        <w:gridCol w:w="1860"/>
        <w:gridCol w:w="2400"/>
        <w:gridCol w:w="2520"/>
        <w:gridCol w:w="2020"/>
        <w:gridCol w:w="640"/>
      </w:tblGrid>
      <w:tr>
        <w:trPr>
          <w:tblHeader/>
        </w:trPr>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c>
          <w:tcPr>
            <w:tcW w:type="dxa" w:w="186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 — None</w:t>
            </w:r>
          </w:p>
        </w:tc>
        <w:tc>
          <w:tcPr>
            <w:tcW w:type="dxa" w:w="240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 — Partial</w:t>
            </w:r>
          </w:p>
        </w:tc>
        <w:tc>
          <w:tcPr>
            <w:tcW w:type="dxa" w:w="252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 — Defined</w:t>
            </w:r>
          </w:p>
        </w:tc>
        <w:tc>
          <w:tcPr>
            <w:tcW w:type="dxa" w:w="202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 — Governed</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Meaning</w:t>
            </w:r>
          </w:p>
        </w:tc>
        <w:tc>
          <w:tcPr>
            <w:tcW w:type="dxa" w:w="186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Capability does not exist or is entirely manual/tribal</w:t>
            </w:r>
          </w:p>
        </w:tc>
        <w:tc>
          <w:tcPr>
            <w:tcW w:type="dxa" w:w="240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Exists in isolated pockets; inconsistent across teams or environments</w:t>
            </w:r>
          </w:p>
        </w:tc>
        <w:tc>
          <w:tcPr>
            <w:tcW w:type="dxa" w:w="252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Documented, repeatable, and applied consistently across most environments</w:t>
            </w:r>
          </w:p>
        </w:tc>
        <w:tc>
          <w:tcPr>
            <w:tcW w:type="dxa" w:w="202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Continuously operating, machine-enforced, and improvement loops are in place</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Your score</w:t>
            </w:r>
          </w:p>
        </w:tc>
      </w:tr>
    </w:tbl>
    <w:p>
      <w:pPr>
        <w:spacing w:after="120"/>
      </w:pPr>
    </w:p>
    <w:p>
      <w:pPr>
        <w:pStyle w:val="Heading3"/>
      </w:pPr>
      <w:r>
        <w:rPr>
          <w:color w:val="1B2D4F"/>
        </w:rPr>
        <w:t xml:space="preserve">Dimension 1 — Infrastructure State Modeling</w:t>
      </w:r>
    </w:p>
    <w:p>
      <w:pPr>
        <w:spacing w:after="120" w:line="276"/>
      </w:pPr>
      <w:r>
        <w:rPr>
          <w:sz w:val="21"/>
          <w:szCs w:val="21"/>
        </w:rPr>
        <w:t xml:space="preserve">Does your organization maintain an authoritative, continuously updated model of what infrastructure exists, how it is connected, and what its current configuration 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75"/>
        <w:gridCol w:w="887"/>
        <w:gridCol w:w="1210"/>
        <w:gridCol w:w="1210"/>
        <w:gridCol w:w="1317"/>
        <w:gridCol w:w="640"/>
        <w:gridCol w:w="941"/>
      </w:tblGrid>
      <w:tr>
        <w:trPr>
          <w:tblHeader/>
        </w:trPr>
        <w:tc>
          <w:tcPr>
            <w:tcW w:type="dxa" w:w="387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w:t>
            </w:r>
          </w:p>
        </w:tc>
        <w:tc>
          <w:tcPr>
            <w:tcW w:type="dxa" w:w="88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w:t>
            </w:r>
          </w:p>
        </w:tc>
        <w:tc>
          <w:tcPr>
            <w:tcW w:type="dxa" w:w="131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94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Asset discovery and inventory</w:t>
            </w:r>
            <w:r>
              <w:rPr>
                <w:sz w:val="18"/>
                <w:szCs w:val="18"/>
              </w:rPr>
              <w:t xml:space="preserve"> All infrastructure assets are discovered and inventoried automatically</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Relationship and dependency modeling</w:t>
            </w:r>
            <w:r>
              <w:rPr>
                <w:sz w:val="18"/>
                <w:szCs w:val="18"/>
              </w:rPr>
              <w:t xml:space="preserve"> Service dependencies, network paths, and trust relationships are explicitly modeled</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Configuration accuracy</w:t>
            </w:r>
            <w:r>
              <w:rPr>
                <w:sz w:val="18"/>
                <w:szCs w:val="18"/>
              </w:rPr>
              <w:t xml:space="preserve"> Actual running configuration is continuously captured and reconcilable</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Cross-domain coverage</w:t>
            </w:r>
            <w:r>
              <w:rPr>
                <w:sz w:val="18"/>
                <w:szCs w:val="18"/>
              </w:rPr>
              <w:t xml:space="preserve"> Modeling covers cloud, network, identity, and on-premises environments as a unified view</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SUBTOTAL — State Modeling</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/12</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r>
    </w:tbl>
    <w:p>
      <w:pPr>
        <w:spacing w:after="120"/>
      </w:pPr>
    </w:p>
    <w:p>
      <w:pPr>
        <w:pStyle w:val="Heading3"/>
      </w:pPr>
      <w:r>
        <w:rPr>
          <w:color w:val="1B2D4F"/>
        </w:rPr>
        <w:t xml:space="preserve">Dimension 2 — Intent and Blueprint Governance</w:t>
      </w:r>
    </w:p>
    <w:p>
      <w:pPr>
        <w:spacing w:after="120" w:line="276"/>
      </w:pPr>
      <w:r>
        <w:rPr>
          <w:sz w:val="21"/>
          <w:szCs w:val="21"/>
        </w:rPr>
        <w:t xml:space="preserve">Is the intended design and behavior of your infrastructure explicitly defined, versioned, and machine-readable — rather than living in human memory, documentation, or configuration code?</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75"/>
        <w:gridCol w:w="887"/>
        <w:gridCol w:w="1210"/>
        <w:gridCol w:w="1210"/>
        <w:gridCol w:w="1317"/>
        <w:gridCol w:w="640"/>
        <w:gridCol w:w="941"/>
      </w:tblGrid>
      <w:tr>
        <w:trPr>
          <w:tblHeader/>
        </w:trPr>
        <w:tc>
          <w:tcPr>
            <w:tcW w:type="dxa" w:w="387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w:t>
            </w:r>
          </w:p>
        </w:tc>
        <w:tc>
          <w:tcPr>
            <w:tcW w:type="dxa" w:w="88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w:t>
            </w:r>
          </w:p>
        </w:tc>
        <w:tc>
          <w:tcPr>
            <w:tcW w:type="dxa" w:w="131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94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Explicit architectural intent</w:t>
            </w:r>
            <w:r>
              <w:rPr>
                <w:sz w:val="18"/>
                <w:szCs w:val="18"/>
              </w:rPr>
              <w:t xml:space="preserve"> Intended infrastructure behavior and design constraints are documented in a machine-readable, versioned form</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Blueprint reusability</w:t>
            </w:r>
            <w:r>
              <w:rPr>
                <w:sz w:val="18"/>
                <w:szCs w:val="18"/>
              </w:rPr>
              <w:t xml:space="preserve"> Approved architecture patterns are encoded as reusable blueprints — not IaC templates — that govern multiple environments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Constraint enforcement</w:t>
            </w:r>
            <w:r>
              <w:rPr>
                <w:sz w:val="18"/>
                <w:szCs w:val="18"/>
              </w:rPr>
              <w:t xml:space="preserve"> Architectural constraints (segmentation, data boundaries, access limits) are enforced automatically, not just documented</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Blueprint versioning and attribution</w:t>
            </w:r>
            <w:r>
              <w:rPr>
                <w:sz w:val="18"/>
                <w:szCs w:val="18"/>
              </w:rPr>
              <w:t xml:space="preserve"> Blueprints are versioned, attributed to owners, and changes are controlled and auditable</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SUBTOTAL — Intent and Blueprints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/12</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r>
    </w:tbl>
    <w:p>
      <w:pPr>
        <w:spacing w:after="120"/>
      </w:pPr>
    </w:p>
    <w:p>
      <w:pPr>
        <w:pStyle w:val="Heading3"/>
      </w:pPr>
      <w:r>
        <w:rPr>
          <w:color w:val="1B2D4F"/>
        </w:rPr>
        <w:t xml:space="preserve">Dimension 3 — Continuous Reconciliation</w:t>
      </w:r>
    </w:p>
    <w:p>
      <w:pPr>
        <w:spacing w:after="120" w:line="276"/>
      </w:pPr>
      <w:r>
        <w:rPr>
          <w:sz w:val="21"/>
          <w:szCs w:val="21"/>
        </w:rPr>
        <w:t xml:space="preserve">Does your organization continuously compare what infrastructure is intended to be, what it was built to be, and what it is actually running as — and act on meaningful deviations before they become incidents?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75"/>
        <w:gridCol w:w="887"/>
        <w:gridCol w:w="1210"/>
        <w:gridCol w:w="1210"/>
        <w:gridCol w:w="1317"/>
        <w:gridCol w:w="640"/>
        <w:gridCol w:w="941"/>
      </w:tblGrid>
      <w:tr>
        <w:trPr>
          <w:tblHeader/>
        </w:trPr>
        <w:tc>
          <w:tcPr>
            <w:tcW w:type="dxa" w:w="387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w:t>
            </w:r>
          </w:p>
        </w:tc>
        <w:tc>
          <w:tcPr>
            <w:tcW w:type="dxa" w:w="88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w:t>
            </w:r>
          </w:p>
        </w:tc>
        <w:tc>
          <w:tcPr>
            <w:tcW w:type="dxa" w:w="131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94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Built vs. running state comparison</w:t>
            </w:r>
            <w:r>
              <w:rPr>
                <w:sz w:val="18"/>
                <w:szCs w:val="18"/>
              </w:rPr>
              <w:t xml:space="preserve"> Designed (built) state and actual running state are compared continuously — not periodically</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Drift classification</w:t>
            </w:r>
            <w:r>
              <w:rPr>
                <w:sz w:val="18"/>
                <w:szCs w:val="18"/>
              </w:rPr>
              <w:t xml:space="preserve"> Drift is classified by severity and domain impact, not just flagged as a binary deviation</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Pre-execution validation</w:t>
            </w:r>
            <w:r>
              <w:rPr>
                <w:sz w:val="18"/>
                <w:szCs w:val="18"/>
              </w:rPr>
              <w:t xml:space="preserve"> Proposed changes are validated against intended state before execution — not detected as drift after the fact</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Reconciliation frequency</w:t>
            </w:r>
            <w:r>
              <w:rPr>
                <w:sz w:val="18"/>
                <w:szCs w:val="18"/>
              </w:rPr>
              <w:t xml:space="preserve"> Reconciliation operates in real time or near-real time — not on a daily/weekly schedule</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SUBTOTAL — Continuous Reconciliation</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/12</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r>
    </w:tbl>
    <w:p>
      <w:pPr>
        <w:spacing w:after="120"/>
      </w:pPr>
    </w:p>
    <w:p>
      <w:pPr>
        <w:pStyle w:val="Heading3"/>
      </w:pPr>
      <w:r>
        <w:rPr>
          <w:color w:val="1B2D4F"/>
        </w:rPr>
        <w:t xml:space="preserve">Dimension 4 — Ownership and Accountability</w:t>
      </w:r>
    </w:p>
    <w:p>
      <w:pPr>
        <w:spacing w:after="120" w:line="276"/>
      </w:pPr>
      <w:r>
        <w:rPr>
          <w:sz w:val="21"/>
          <w:szCs w:val="21"/>
        </w:rPr>
        <w:t xml:space="preserve">Is ownership of infrastructure elements, blast radius, and decision authority explicitly encoded and machine-readable — not reliant on tribal knowledge or manual lookup?</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75"/>
        <w:gridCol w:w="887"/>
        <w:gridCol w:w="1210"/>
        <w:gridCol w:w="1210"/>
        <w:gridCol w:w="1317"/>
        <w:gridCol w:w="640"/>
        <w:gridCol w:w="941"/>
      </w:tblGrid>
      <w:tr>
        <w:trPr>
          <w:tblHeader/>
        </w:trPr>
        <w:tc>
          <w:tcPr>
            <w:tcW w:type="dxa" w:w="387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w:t>
            </w:r>
          </w:p>
        </w:tc>
        <w:tc>
          <w:tcPr>
            <w:tcW w:type="dxa" w:w="88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w:t>
            </w:r>
          </w:p>
        </w:tc>
        <w:tc>
          <w:tcPr>
            <w:tcW w:type="dxa" w:w="131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94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Explicit infrastructure ownership</w:t>
            </w:r>
            <w:r>
              <w:rPr>
                <w:sz w:val="18"/>
                <w:szCs w:val="18"/>
              </w:rPr>
              <w:t xml:space="preserve"> Every infrastructure element has an explicit, machine-readable owner — not just a team name in a wiki</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Blast-radius awareness</w:t>
            </w:r>
            <w:r>
              <w:rPr>
                <w:sz w:val="18"/>
                <w:szCs w:val="18"/>
              </w:rPr>
              <w:t xml:space="preserve"> The downstream impact of any change is knowable before execution — not reconstructed during incidents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Decision authority mapping</w:t>
            </w:r>
            <w:r>
              <w:rPr>
                <w:sz w:val="18"/>
                <w:szCs w:val="18"/>
              </w:rPr>
              <w:t xml:space="preserve"> Who may authorize changes, exceptions, and escalations is explicitly defined and enforced</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Accountability during incidents</w:t>
            </w:r>
            <w:r>
              <w:rPr>
                <w:sz w:val="18"/>
                <w:szCs w:val="18"/>
              </w:rPr>
              <w:t xml:space="preserve"> When something breaks, ownership is immediately deterministic — engineers do not spend time identifying accountable parties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SUBTOTAL — Ownership and Accountability</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/12</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r>
    </w:tbl>
    <w:p>
      <w:pPr>
        <w:spacing w:after="120"/>
      </w:pPr>
    </w:p>
    <w:p>
      <w:pPr>
        <w:pStyle w:val="Heading3"/>
      </w:pPr>
      <w:r>
        <w:rPr>
          <w:color w:val="1B2D4F"/>
        </w:rPr>
        <w:t xml:space="preserve">Dimension 5 — Governance at the Point of Execution</w:t>
      </w:r>
    </w:p>
    <w:p>
      <w:pPr>
        <w:spacing w:after="120" w:line="276"/>
      </w:pPr>
      <w:r>
        <w:rPr>
          <w:sz w:val="21"/>
          <w:szCs w:val="21"/>
        </w:rPr>
        <w:t xml:space="preserve">Does governance operate before automation, pipelines, and AI agents act — or does your organization discover governance violations after they have already occurred?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75"/>
        <w:gridCol w:w="887"/>
        <w:gridCol w:w="1210"/>
        <w:gridCol w:w="1210"/>
        <w:gridCol w:w="1317"/>
        <w:gridCol w:w="640"/>
        <w:gridCol w:w="941"/>
      </w:tblGrid>
      <w:tr>
        <w:trPr>
          <w:tblHeader/>
        </w:trPr>
        <w:tc>
          <w:tcPr>
            <w:tcW w:type="dxa" w:w="387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w:t>
            </w:r>
          </w:p>
        </w:tc>
        <w:tc>
          <w:tcPr>
            <w:tcW w:type="dxa" w:w="88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w:t>
            </w:r>
          </w:p>
        </w:tc>
        <w:tc>
          <w:tcPr>
            <w:tcW w:type="dxa" w:w="131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94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Pre-execution change validation</w:t>
            </w:r>
            <w:r>
              <w:rPr>
                <w:sz w:val="18"/>
                <w:szCs w:val="18"/>
              </w:rPr>
              <w:t xml:space="preserve"> Changes are validated against architectural intent before pipelines, automation, or AI agents execute them</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Automated approval for conforming changes</w:t>
            </w:r>
            <w:r>
              <w:rPr>
                <w:sz w:val="18"/>
                <w:szCs w:val="18"/>
              </w:rPr>
              <w:t xml:space="preserve"> Changes that meet defined criteria are approved automatically — human review is reserved for genuinely ambiguous cases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Deterministic violation blocking</w:t>
            </w:r>
            <w:r>
              <w:rPr>
                <w:sz w:val="18"/>
                <w:szCs w:val="18"/>
              </w:rPr>
              <w:t xml:space="preserve"> Changes that violate constraints are blocked automatically — not routed to human review as a default mechanism</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AI and automation bounds</w:t>
            </w:r>
            <w:r>
              <w:rPr>
                <w:sz w:val="18"/>
                <w:szCs w:val="18"/>
              </w:rPr>
              <w:t xml:space="preserve"> AI agents and autonomous systems operate within explicitly defined boundaries — not under inferred or assumed constraints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SUBTOTAL — Governance at Execution</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/12</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r>
    </w:tbl>
    <w:p>
      <w:pPr>
        <w:spacing w:after="120"/>
      </w:pPr>
    </w:p>
    <w:p>
      <w:pPr>
        <w:pStyle w:val="Heading3"/>
      </w:pPr>
      <w:r>
        <w:rPr>
          <w:color w:val="1B2D4F"/>
        </w:rPr>
        <w:t xml:space="preserve">Dimension 6 — Evidence and Auditability</w:t>
      </w:r>
    </w:p>
    <w:p>
      <w:pPr>
        <w:spacing w:after="120" w:line="276"/>
      </w:pPr>
      <w:r>
        <w:rPr>
          <w:sz w:val="21"/>
          <w:szCs w:val="21"/>
        </w:rPr>
        <w:t xml:space="preserve">Does your organization produce continuous, automatically generated evidence of infrastructure state, intent, and governance decisions — or is evidence assembled manually for audits and incidents?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75"/>
        <w:gridCol w:w="887"/>
        <w:gridCol w:w="1210"/>
        <w:gridCol w:w="1210"/>
        <w:gridCol w:w="1317"/>
        <w:gridCol w:w="640"/>
        <w:gridCol w:w="941"/>
      </w:tblGrid>
      <w:tr>
        <w:trPr>
          <w:tblHeader/>
        </w:trPr>
        <w:tc>
          <w:tcPr>
            <w:tcW w:type="dxa" w:w="387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w:t>
            </w:r>
          </w:p>
        </w:tc>
        <w:tc>
          <w:tcPr>
            <w:tcW w:type="dxa" w:w="88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0</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1</w:t>
            </w:r>
          </w:p>
        </w:tc>
        <w:tc>
          <w:tcPr>
            <w:tcW w:type="dxa" w:w="12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2</w:t>
            </w:r>
          </w:p>
        </w:tc>
        <w:tc>
          <w:tcPr>
            <w:tcW w:type="dxa" w:w="131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3</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94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Automated evidence generation</w:t>
            </w:r>
            <w:r>
              <w:rPr>
                <w:sz w:val="18"/>
                <w:szCs w:val="18"/>
              </w:rPr>
              <w:t xml:space="preserve"> Audit evidence is produced as a byproduct of operation — not assembled retrospectively from logs, tickets, and documentation</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Intent-to-action traceability</w:t>
            </w:r>
            <w:r>
              <w:rPr>
                <w:sz w:val="18"/>
                <w:szCs w:val="18"/>
              </w:rPr>
              <w:t xml:space="preserve"> Every infrastructure action can be traced to the intent or blueprint that authorized it</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Continuous compliance posture</w:t>
            </w:r>
            <w:r>
              <w:rPr>
                <w:sz w:val="18"/>
                <w:szCs w:val="18"/>
              </w:rPr>
              <w:t xml:space="preserve"> Compliance posture is a continuous, queryable state — not a point-in-time assessment</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Evidence durability and accessibility</w:t>
            </w:r>
            <w:r>
              <w:rPr>
                <w:sz w:val="18"/>
                <w:szCs w:val="18"/>
              </w:rPr>
              <w:t xml:space="preserve"> Evidence is retained in a queryable, structured form — not scattered across log archives and spreadsheets</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0 — None</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 — Partial</w:t>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Defined</w:t>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Governed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Score:</w:t>
            </w:r>
          </w:p>
        </w:tc>
      </w:tr>
      <w:tr>
        <w:trPr>
          <w:tblHeader w:val="false"/>
        </w:trPr>
        <w:tc>
          <w:tcPr>
            <w:tcW w:type="dxa" w:w="387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SUBTOTAL — Evidence and Auditability</w:t>
            </w:r>
          </w:p>
        </w:tc>
        <w:tc>
          <w:tcPr>
            <w:tcW w:type="dxa" w:w="88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2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31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/12</w:t>
            </w:r>
          </w:p>
        </w:tc>
        <w:tc>
          <w:tcPr>
            <w:tcW w:type="dxa" w:w="94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r>
    </w:tbl>
    <w:p>
      <w:pPr>
        <w:spacing w:after="120"/>
      </w:pPr>
    </w:p>
    <w:p>
      <w:pPr>
        <w:pStyle w:val="Heading3"/>
      </w:pPr>
      <w:r>
        <w:rPr>
          <w:color w:val="1B2D4F"/>
        </w:rPr>
        <w:t xml:space="preserve">Maturity Assessment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996"/>
        <w:gridCol w:w="640"/>
        <w:gridCol w:w="2218"/>
        <w:gridCol w:w="3226"/>
      </w:tblGrid>
      <w:tr>
        <w:trPr>
          <w:tblHeader/>
        </w:trPr>
        <w:tc>
          <w:tcPr>
            <w:tcW w:type="dxa" w:w="3996"/>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Dimension</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Max</w:t>
            </w:r>
          </w:p>
        </w:tc>
        <w:tc>
          <w:tcPr>
            <w:tcW w:type="dxa" w:w="2218"/>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Your score</w:t>
            </w:r>
          </w:p>
        </w:tc>
        <w:tc>
          <w:tcPr>
            <w:tcW w:type="dxa" w:w="3226"/>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Priority</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 — Infrastructure State Modeling</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Enter score:</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High / Medium / Low:</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 — Intent and Blueprint Governance</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Enter score:</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High / Medium / Low:</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 — Continuous Reconciliation</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Enter score:</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High / Medium / Low:</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4 — Ownership and Accountability</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Enter score:</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High / Medium / Low:</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5 — Governance at the Point of Execution</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Enter score:</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High / Medium / Low:</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6 — Evidence and Auditability</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Enter score:</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High / Medium / Low:</w:t>
            </w:r>
          </w:p>
        </w:tc>
      </w:tr>
      <w:tr>
        <w:trPr>
          <w:tblHeader w:val="false"/>
        </w:trPr>
        <w:tc>
          <w:tcPr>
            <w:tcW w:type="dxa" w:w="399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TOTAL SCORE</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/72</w:t>
            </w:r>
          </w:p>
        </w:tc>
        <w:tc>
          <w:tcPr>
            <w:tcW w:type="dxa" w:w="221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Total:</w:t>
            </w:r>
          </w:p>
        </w:tc>
        <w:tc>
          <w:tcPr>
            <w:tcW w:type="dxa" w:w="322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r>
    </w:tbl>
    <w:p>
      <w:pPr>
        <w:spacing w:after="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40"/>
        <w:gridCol w:w="640"/>
        <w:gridCol w:w="3569"/>
        <w:gridCol w:w="5231"/>
      </w:tblGrid>
      <w:tr>
        <w:trPr>
          <w:tblHeader/>
        </w:trPr>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Score</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Maturity band</w:t>
            </w:r>
          </w:p>
        </w:tc>
        <w:tc>
          <w:tcPr>
            <w:tcW w:type="dxa" w:w="3569"/>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What it means</w:t>
            </w:r>
          </w:p>
        </w:tc>
        <w:tc>
          <w:tcPr>
            <w:tcW w:type="dxa" w:w="523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Recommended starting point</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0–18</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Pre-IOM</w:t>
            </w:r>
          </w:p>
        </w:tc>
        <w:tc>
          <w:tcPr>
            <w:tcW w:type="dxa" w:w="356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Infrastructure governance is primarily manual and reactive. Significant foundational work is required before IOM adoption begins.</w:t>
            </w:r>
          </w:p>
        </w:tc>
        <w:tc>
          <w:tcPr>
            <w:tcW w:type="dxa" w:w="5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Start with state modeling — get an accurate, automated view of what exists before addressing governance.</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19–36</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Emerging</w:t>
            </w:r>
          </w:p>
        </w:tc>
        <w:tc>
          <w:tcPr>
            <w:tcW w:type="dxa" w:w="356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Some capabilities exist but are inconsistent, isolated, or tool-specific. The organization recognizes the need for a governing model but has not yet established one.</w:t>
            </w:r>
          </w:p>
        </w:tc>
        <w:tc>
          <w:tcPr>
            <w:tcW w:type="dxa" w:w="5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Focus on intent definition and ownership encoding — these unlock the consistency that existing tools lack.</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37–54</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Developing</w:t>
            </w:r>
          </w:p>
        </w:tc>
        <w:tc>
          <w:tcPr>
            <w:tcW w:type="dxa" w:w="356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Core IOM capabilities are present and partly operational. Gaps exist in reconciliation frequency, pre-execution validation, or cross-domain coverage.</w:t>
            </w:r>
          </w:p>
        </w:tc>
        <w:tc>
          <w:tcPr>
            <w:tcW w:type="dxa" w:w="5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Close the reconciliation and pre-execution gaps — these convert existing capability into active governance.</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55–72</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Governed</w:t>
            </w:r>
          </w:p>
        </w:tc>
        <w:tc>
          <w:tcPr>
            <w:tcW w:type="dxa" w:w="356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IOM capabilities are operating continuously and improving. The organization is ready to extend governance to AI agents and autonomous systems.</w:t>
            </w:r>
          </w:p>
        </w:tc>
        <w:tc>
          <w:tcPr>
            <w:tcW w:type="dxa" w:w="5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Focus on AI-readiness — establish authoritative context and explicit boundaries for autonomous operation.</w:t>
            </w:r>
          </w:p>
        </w:tc>
      </w:tr>
    </w:tbl>
    <w:p>
      <w:pPr>
        <w:spacing w:after="120"/>
      </w:pPr>
    </w:p>
    <w:p>
      <w:pPr>
        <w:spacing w:after="20" w:before="260"/>
      </w:pPr>
      <w:r>
        <w:rPr>
          <w:b/>
          <w:bCs/>
          <w:color w:val="C8920A"/>
          <w:spacing w:val="40"/>
          <w:sz w:val="16"/>
          <w:szCs w:val="16"/>
        </w:rPr>
        <w:t xml:space="preserve">PART 2</w:t>
      </w:r>
    </w:p>
    <w:p>
      <w:pPr>
        <w:pStyle w:val="Heading1"/>
      </w:pPr>
      <w:r>
        <w:rPr>
          <w:color w:val="1B2D4F"/>
        </w:rPr>
        <w:t xml:space="preserve">Tool Mapping Worksheet</w:t>
      </w:r>
    </w:p>
    <w:p>
      <w:pPr>
        <w:spacing w:after="120" w:line="276"/>
      </w:pPr>
      <w:r>
        <w:rPr>
          <w:sz w:val="21"/>
          <w:szCs w:val="21"/>
        </w:rPr>
        <w:t xml:space="preserve">For each IOM capability domain below, record the tools your organization currently uses and identify the gap between what those tools provide and what the IOM standard requires. This worksheet produces the input for Part 3 (Gap Analysis).</w:t>
      </w:r>
    </w:p>
    <w:p>
      <w:pPr>
        <w:pBdr>
          <w:left w:val="single" w:color="C8920A" w:sz="18" w:space="14"/>
        </w:pBdr>
        <w:shd w:fill="F2EFE8" w:val="clear"/>
        <w:spacing w:after="120" w:before="80" w:line="264"/>
        <w:ind w:left="240"/>
      </w:pPr>
      <w:r>
        <w:rPr>
          <w:b/>
          <w:bCs/>
          <w:sz w:val="20"/>
          <w:szCs w:val="20"/>
        </w:rPr>
        <w:t xml:space="preserve">How to read this table</w:t>
      </w:r>
      <w:r>
        <w:rPr>
          <w:sz w:val="20"/>
          <w:szCs w:val="20"/>
        </w:rPr>
        <w:t xml:space="preserve"> The 'IOM requirement' column describes what a fully conformant IOM must provide in this domain. Your task is to assess whether your current tooling satisfies that requirement — and if not, to characterize the gap. Be specific: note if the tool provides the capability partially, periodically, or only for a subset of your environments.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681"/>
        <w:gridCol w:w="4032"/>
        <w:gridCol w:w="2206"/>
        <w:gridCol w:w="1161"/>
      </w:tblGrid>
      <w:tr>
        <w:trPr>
          <w:tblHeader/>
        </w:trPr>
        <w:tc>
          <w:tcPr>
            <w:tcW w:type="dxa" w:w="268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 domain</w:t>
            </w:r>
          </w:p>
        </w:tc>
        <w:tc>
          <w:tcPr>
            <w:tcW w:type="dxa" w:w="4032"/>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IOM requirement</w:t>
            </w:r>
          </w:p>
        </w:tc>
        <w:tc>
          <w:tcPr>
            <w:tcW w:type="dxa" w:w="2206"/>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Your current tools</w:t>
            </w:r>
          </w:p>
        </w:tc>
        <w:tc>
          <w:tcPr>
            <w:tcW w:type="dxa" w:w="116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INFRASTRUCTURE STATE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Asset and configuration inventory</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All infrastructure assets discovered automatically and continuously — not human-curated. Records include configuration state, not just existence.</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Relationship and dependency modeling</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Relationships between assets are explicitly modeled with directionality and semantics — not inferred from traffic or logs. Blast-radius boundaries are first-class properties.</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Cross-domain unified model</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A single model covers cloud providers, on-premises, network, identity, and edge — not separate inventories per domain requiring manual correlation.</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INTENT AND BLUEPRINTS</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Architectural intent encoding</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Infrastructure intent is encoded in a machine-readable, versioned format separate from IaC — not embedded in comments, wikis, or runbooks.</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Blueprint governance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Approved design patterns exist as reusable blueprints that govern validation across environments — not as IaC templates used solely for provisioning.</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Constraint definition and enforcement</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Security, compliance, and architectural constraints are defined at the intent level and enforced automatically — not only checked in pipelines.</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CONTINUOUS RECONCILIATION</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Built vs. running state comparison</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Designed state and actual running state are compared continuously. Deviations are classified by severity and domain impact — not just surfaced as alerts.</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Pre-execution validation</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Changes are validated against intent before execution — not detected as violations after automation has already acted.</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Drift prevention vs. detection</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The operating model prevents drift from occurring through pre-execution controls — not solely detects it after the fact through scanning.</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OWNERSHIP AND AUTHORITY</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Explicit ownership encoding</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Every infrastructure element has a machine-readable, enforced owner — not a team tag in a CMDB that may be stale.</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Decision authority mapping</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Who may authorize changes, exceptions, and escalations is explicitly modeled and enforced — not embedded in ticket routing conventions.</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Blast-radius awareness at decision time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The impact scope of any proposed change is deterministic before execution — not reconstructed after an incident.</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EVIDENCE AND AUDITABILITY</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Automated evidence generation</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Audit evidence is produced continuously as a byproduct of governed operation — not assembled manually for compliance cycles.</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Intent-to-action traceability</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Every infrastructure action is traceable to the blueprint or intent that authorized it — creating a durable chain from design to execution.</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r>
        <w:trPr>
          <w:tblHeader w:val="false"/>
        </w:trPr>
        <w:tc>
          <w:tcPr>
            <w:tcW w:type="dxa" w:w="268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Continuous compliance posture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Compliance posture is a live, queryable state derived from the reconciled model — not a periodic assessment against a point-in-time snapshot.</w:t>
            </w:r>
          </w:p>
        </w:tc>
        <w:tc>
          <w:tcPr>
            <w:tcW w:type="dxa" w:w="220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Tool(s) currently used:</w:t>
            </w:r>
          </w:p>
        </w:tc>
        <w:tc>
          <w:tcPr>
            <w:tcW w:type="dxa" w:w="116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Gap / notes:</w:t>
            </w:r>
          </w:p>
        </w:tc>
      </w:tr>
    </w:tbl>
    <w:p>
      <w:pPr>
        <w:spacing w:after="120"/>
      </w:pPr>
    </w:p>
    <w:p>
      <w:pPr>
        <w:spacing w:after="20" w:before="260"/>
      </w:pPr>
      <w:r>
        <w:rPr>
          <w:b/>
          <w:bCs/>
          <w:color w:val="C8920A"/>
          <w:spacing w:val="40"/>
          <w:sz w:val="16"/>
          <w:szCs w:val="16"/>
        </w:rPr>
        <w:t xml:space="preserve">PART 3</w:t>
      </w:r>
    </w:p>
    <w:p>
      <w:pPr>
        <w:pStyle w:val="Heading1"/>
      </w:pPr>
      <w:r>
        <w:rPr>
          <w:color w:val="1B2D4F"/>
        </w:rPr>
        <w:t xml:space="preserve">Gap Analysis</w:t>
      </w:r>
    </w:p>
    <w:p>
      <w:pPr>
        <w:spacing w:after="120" w:line="276"/>
      </w:pPr>
      <w:r>
        <w:rPr>
          <w:sz w:val="21"/>
          <w:szCs w:val="21"/>
        </w:rPr>
        <w:t xml:space="preserve">Translate your maturity scores and tool mapping observations into a prioritized gap inventory. For each gap, record the capability dimension, the specific gap, its severity, the effort required to close it, and the primary driver (compliance, AI readiness, operational reliability, cost control, security).</w:t>
      </w:r>
    </w:p>
    <w:p>
      <w:pPr>
        <w:spacing w:after="120" w:line="276"/>
      </w:pPr>
      <w:r>
        <w:rPr>
          <w:b/>
          <w:bCs/>
          <w:sz w:val="21"/>
          <w:szCs w:val="21"/>
        </w:rPr>
        <w:t xml:space="preserve">Gap prioritization guidance</w:t>
      </w:r>
    </w:p>
    <w:p>
      <w:pPr>
        <w:pStyle w:val="ListParagraph"/>
        <w:numPr>
          <w:ilvl w:val="0"/>
          <w:numId w:val="2"/>
        </w:numPr>
        <w:spacing w:after="60" w:line="264"/>
      </w:pPr>
      <w:r>
        <w:rPr>
          <w:b/>
          <w:bCs/>
          <w:sz w:val="21"/>
          <w:szCs w:val="21"/>
        </w:rPr>
        <w:t xml:space="preserve">Severity HIGH:  </w:t>
      </w:r>
      <w:r>
        <w:rPr>
          <w:sz w:val="21"/>
          <w:szCs w:val="21"/>
        </w:rPr>
        <w:t xml:space="preserve">Gap creates active risk — security exposure, compliance failure, or AI operating without defined boundaries. Address before any other gaps.</w:t>
      </w:r>
    </w:p>
    <w:p>
      <w:pPr>
        <w:pStyle w:val="ListParagraph"/>
        <w:numPr>
          <w:ilvl w:val="0"/>
          <w:numId w:val="2"/>
        </w:numPr>
        <w:spacing w:after="60" w:line="264"/>
      </w:pPr>
      <w:r>
        <w:rPr>
          <w:b/>
          <w:bCs/>
          <w:sz w:val="21"/>
          <w:szCs w:val="21"/>
        </w:rPr>
        <w:t xml:space="preserve">Severity MEDIUM:  </w:t>
      </w:r>
      <w:r>
        <w:rPr>
          <w:sz w:val="21"/>
          <w:szCs w:val="21"/>
        </w:rPr>
        <w:t xml:space="preserve">Gap creates operational inefficiency or limits your ability to achieve a defined organizational goal. Address in Phase 2.</w:t>
      </w:r>
    </w:p>
    <w:p>
      <w:pPr>
        <w:pStyle w:val="ListParagraph"/>
        <w:numPr>
          <w:ilvl w:val="0"/>
          <w:numId w:val="2"/>
        </w:numPr>
        <w:spacing w:after="60" w:line="264"/>
      </w:pPr>
      <w:r>
        <w:rPr>
          <w:b/>
          <w:bCs/>
          <w:sz w:val="21"/>
          <w:szCs w:val="21"/>
        </w:rPr>
        <w:t xml:space="preserve">Severity LOW:  </w:t>
      </w:r>
      <w:r>
        <w:rPr>
          <w:sz w:val="21"/>
          <w:szCs w:val="21"/>
        </w:rPr>
        <w:t xml:space="preserve">Gap represents an improvement opportunity but does not create active risk or block organizational goals. Address in Phase 3–4.</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40"/>
        <w:gridCol w:w="1951"/>
        <w:gridCol w:w="3051"/>
        <w:gridCol w:w="943"/>
        <w:gridCol w:w="910"/>
        <w:gridCol w:w="1366"/>
        <w:gridCol w:w="1219"/>
      </w:tblGrid>
      <w:tr>
        <w:trPr>
          <w:tblHeader/>
        </w:trPr>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w:t>
            </w:r>
          </w:p>
        </w:tc>
        <w:tc>
          <w:tcPr>
            <w:tcW w:type="dxa" w:w="195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Capability dimension</w:t>
            </w:r>
          </w:p>
        </w:tc>
        <w:tc>
          <w:tcPr>
            <w:tcW w:type="dxa" w:w="305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Specific gap description</w:t>
            </w:r>
          </w:p>
        </w:tc>
        <w:tc>
          <w:tcPr>
            <w:tcW w:type="dxa" w:w="943"/>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Severity</w:t>
            </w:r>
          </w:p>
        </w:tc>
        <w:tc>
          <w:tcPr>
            <w:tcW w:type="dxa" w:w="91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Effort</w:t>
            </w:r>
          </w:p>
        </w:tc>
        <w:tc>
          <w:tcPr>
            <w:tcW w:type="dxa" w:w="1366"/>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Primary driver</w:t>
            </w:r>
          </w:p>
        </w:tc>
        <w:tc>
          <w:tcPr>
            <w:tcW w:type="dxa" w:w="1219"/>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Phase</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2</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3</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4</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5</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6</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7</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8</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9</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10</w:t>
            </w:r>
          </w:p>
        </w:tc>
        <w:tc>
          <w:tcPr>
            <w:tcW w:type="dxa" w:w="19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Dimension:</w:t>
            </w:r>
          </w:p>
        </w:tc>
        <w:tc>
          <w:tcPr>
            <w:tcW w:type="dxa" w:w="305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Describe the gap:</w:t>
            </w:r>
          </w:p>
        </w:tc>
        <w:tc>
          <w:tcPr>
            <w:tcW w:type="dxa" w:w="94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H/M/L</w:t>
            </w:r>
          </w:p>
        </w:tc>
        <w:tc>
          <w:tcPr>
            <w:tcW w:type="dxa" w:w="91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S/M/L</w:t>
            </w:r>
          </w:p>
        </w:tc>
        <w:tc>
          <w:tcPr>
            <w:tcW w:type="dxa" w:w="1366"/>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Driver:</w:t>
            </w:r>
          </w:p>
        </w:tc>
        <w:tc>
          <w:tcPr>
            <w:tcW w:type="dxa" w:w="121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1/2/3/4</w:t>
            </w:r>
          </w:p>
        </w:tc>
      </w:tr>
    </w:tbl>
    <w:p>
      <w:pPr>
        <w:spacing w:after="120"/>
      </w:pPr>
    </w:p>
    <w:p>
      <w:pPr>
        <w:spacing w:after="120" w:line="276"/>
      </w:pPr>
      <w:r>
        <w:rPr>
          <w:b/>
          <w:bCs/>
          <w:sz w:val="21"/>
          <w:szCs w:val="21"/>
        </w:rPr>
        <w:t xml:space="preserve">Gap Analysis Notes</w:t>
      </w:r>
    </w:p>
    <w:p>
      <w:pPr>
        <w:spacing w:after="20" w:before="260"/>
      </w:pPr>
      <w:r>
        <w:rPr>
          <w:b/>
          <w:bCs/>
          <w:color w:val="C8920A"/>
          <w:spacing w:val="40"/>
          <w:sz w:val="16"/>
          <w:szCs w:val="16"/>
        </w:rPr>
        <w:t xml:space="preserve">PART 4</w:t>
      </w:r>
    </w:p>
    <w:p>
      <w:pPr>
        <w:pStyle w:val="Heading1"/>
      </w:pPr>
      <w:r>
        <w:rPr>
          <w:color w:val="1B2D4F"/>
        </w:rPr>
        <w:t xml:space="preserve">Adoption Roadmap Planner</w:t>
      </w:r>
    </w:p>
    <w:p>
      <w:pPr>
        <w:spacing w:after="120" w:line="276"/>
      </w:pPr>
      <w:r>
        <w:rPr>
          <w:sz w:val="21"/>
          <w:szCs w:val="21"/>
        </w:rPr>
        <w:t xml:space="preserve">IOM adoption follows a proven four-phase progression. Each phase builds on the last and introduces no execution risk until authority has been established through accuracy. Use this planner to assign timelines, owners, and success criteria for each phase based on your organization's priorities and gaps.</w:t>
      </w:r>
    </w:p>
    <w:p>
      <w:pPr>
        <w:pBdr>
          <w:left w:val="single" w:color="C8920A" w:sz="18" w:space="14"/>
        </w:pBdr>
        <w:shd w:fill="F2EFE8" w:val="clear"/>
        <w:spacing w:after="120" w:before="80" w:line="264"/>
        <w:ind w:left="240"/>
      </w:pPr>
      <w:r>
        <w:rPr>
          <w:b/>
          <w:bCs/>
          <w:sz w:val="20"/>
          <w:szCs w:val="20"/>
        </w:rPr>
        <w:t xml:space="preserve">The governing principle of IOM adoption</w:t>
      </w:r>
      <w:r>
        <w:rPr>
          <w:sz w:val="20"/>
          <w:szCs w:val="20"/>
        </w:rPr>
        <w:t xml:space="preserve"> Do not introduce execution authority before modeling authority is established. Organizations that attempt to govern before they can accurately model their infrastructure produce unreliable decisions that erode trust in the operating model. Phase 1 is not optional — it is the foundation everything else depends 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40"/>
        <w:gridCol w:w="2063"/>
        <w:gridCol w:w="3242"/>
        <w:gridCol w:w="3495"/>
        <w:gridCol w:w="640"/>
      </w:tblGrid>
      <w:tr>
        <w:trPr>
          <w:tblHeader/>
        </w:trPr>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Phase</w:t>
            </w:r>
          </w:p>
        </w:tc>
        <w:tc>
          <w:tcPr>
            <w:tcW w:type="dxa" w:w="2063"/>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Goal</w:t>
            </w:r>
          </w:p>
        </w:tc>
        <w:tc>
          <w:tcPr>
            <w:tcW w:type="dxa" w:w="3242"/>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Key activities</w:t>
            </w:r>
          </w:p>
        </w:tc>
        <w:tc>
          <w:tcPr>
            <w:tcW w:type="dxa" w:w="349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Success criteria</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Your timeline / 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1</w:t>
            </w:r>
            <w:r>
              <w:rPr>
                <w:sz w:val="18"/>
                <w:szCs w:val="18"/>
              </w:rPr>
              <w:t xml:space="preserve"> </w:t>
            </w:r>
            <w:r>
              <w:rPr>
                <w:b/>
                <w:bCs/>
                <w:sz w:val="18"/>
                <w:szCs w:val="18"/>
              </w:rPr>
              <w:t xml:space="preserve">Model</w:t>
            </w:r>
          </w:p>
        </w:tc>
        <w:tc>
          <w:tcPr>
            <w:tcW w:type="dxa" w:w="206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Establish an accurate, continuously updated canonical model of your infrastructure — read-only. No governance authority yet.</w:t>
            </w:r>
          </w:p>
        </w:tc>
        <w:tc>
          <w:tcPr>
            <w:tcW w:type="dxa" w:w="324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Ingest target environments into the canonical model. Normalize relationships and dependencies. Identify undocumented assets, shadow infrastructure, and ownership gaps. Baseline drift frequency and type.</w:t>
            </w:r>
          </w:p>
        </w:tc>
        <w:tc>
          <w:tcPr>
            <w:tcW w:type="dxa" w:w="349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Proposed (draft) model covers target environments with </w:t>
            </w:r>
            <w:r>
              <w:rPr>
                <w:b/>
                <w:bCs/>
                <w:sz w:val="18"/>
                <w:szCs w:val="18"/>
              </w:rPr>
              <w:t xml:space="preserve">&gt;</w:t>
            </w:r>
            <w:r>
              <w:rPr>
                <w:sz w:val="18"/>
                <w:szCs w:val="18"/>
              </w:rPr>
              <w:t xml:space="preserve">95% asset accuracy. Ownership gaps identified and surfaced. Drift baseline established. No production systems modified.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Your timeline / 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2</w:t>
            </w:r>
            <w:r>
              <w:rPr>
                <w:sz w:val="18"/>
                <w:szCs w:val="18"/>
              </w:rPr>
              <w:t xml:space="preserve"> </w:t>
            </w:r>
            <w:r>
              <w:rPr>
                <w:b/>
                <w:bCs/>
                <w:sz w:val="18"/>
                <w:szCs w:val="18"/>
              </w:rPr>
              <w:t xml:space="preserve">Reconcile and govern</w:t>
            </w:r>
          </w:p>
        </w:tc>
        <w:tc>
          <w:tcPr>
            <w:tcW w:type="dxa" w:w="206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Activate continuous reconciliation and establish governance against declared intent. Begin enforcing architectural constraints.</w:t>
            </w:r>
          </w:p>
        </w:tc>
        <w:tc>
          <w:tcPr>
            <w:tcW w:type="dxa" w:w="324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Define intent and blueprints for target environments. Activate continuous built-vs-running-state reconciliation. Apply governance rules: auto-approve conforming, block violations, escalate ambiguous. Establish ownership and blast-radius semantics.</w:t>
            </w:r>
          </w:p>
        </w:tc>
        <w:tc>
          <w:tcPr>
            <w:tcW w:type="dxa" w:w="349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Governance operating pre-execution for defined environments. Conforming changes auto-approved without human review. Violations blocked deterministically. Ownership explicitly encoded and enforced.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Your timeline / 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3</w:t>
            </w:r>
            <w:r>
              <w:rPr>
                <w:sz w:val="18"/>
                <w:szCs w:val="18"/>
              </w:rPr>
              <w:t xml:space="preserve"> </w:t>
            </w:r>
            <w:r>
              <w:rPr>
                <w:b/>
                <w:bCs/>
                <w:sz w:val="18"/>
                <w:szCs w:val="18"/>
              </w:rPr>
              <w:t xml:space="preserve">Govern automation</w:t>
            </w:r>
          </w:p>
        </w:tc>
        <w:tc>
          <w:tcPr>
            <w:tcW w:type="dxa" w:w="206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Extend IOM authority into IaC pipelines, CI/CD, and automation systems. Human escalation becomes the exception, not the default.</w:t>
            </w:r>
          </w:p>
        </w:tc>
        <w:tc>
          <w:tcPr>
            <w:tcW w:type="dxa" w:w="324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Integrate IOM validation into IaC and CI/CD pipelines. Bind automation frameworks to governance boundaries. Establish escalation paths for genuinely ambiguous changes. Expand scope to additional environments and domains.</w:t>
            </w:r>
          </w:p>
        </w:tc>
        <w:tc>
          <w:tcPr>
            <w:tcW w:type="dxa" w:w="349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IaC changes validated against IOM before execution across all governed environments. Human escalation rate </w:t>
            </w:r>
            <w:r>
              <w:rPr>
                <w:b/>
                <w:bCs/>
                <w:sz w:val="18"/>
                <w:szCs w:val="18"/>
              </w:rPr>
              <w:t xml:space="preserve">&lt;</w:t>
            </w:r>
            <w:r>
              <w:rPr>
                <w:sz w:val="18"/>
                <w:szCs w:val="18"/>
              </w:rPr>
              <w:t xml:space="preserve">15% of all changes. Change cycle time reduced by target percentage. No production violations in governed environments.</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Your timeline / 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4</w:t>
            </w:r>
            <w:r>
              <w:rPr>
                <w:sz w:val="18"/>
                <w:szCs w:val="18"/>
              </w:rPr>
              <w:t xml:space="preserve"> </w:t>
            </w:r>
            <w:r>
              <w:rPr>
                <w:b/>
                <w:bCs/>
                <w:sz w:val="18"/>
                <w:szCs w:val="18"/>
              </w:rPr>
              <w:t xml:space="preserve">Enable AI operations</w:t>
            </w:r>
          </w:p>
        </w:tc>
        <w:tc>
          <w:tcPr>
            <w:tcW w:type="dxa" w:w="206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Extend authoritative context and governed boundaries to AI agents and autonomous systems. Achieve explainable, auditable autonomy.</w:t>
            </w:r>
          </w:p>
        </w:tc>
        <w:tc>
          <w:tcPr>
            <w:tcW w:type="dxa" w:w="324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Provide authoritative infrastructure context to AI systems. Define explicit bounds for autonomous action. Establish AI decision audit trails traceable to intent. Activate learning loops to refine blueprints from operational evidence.</w:t>
            </w:r>
          </w:p>
        </w:tc>
        <w:tc>
          <w:tcPr>
            <w:tcW w:type="dxa" w:w="349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AI agents operating within governed boundaries with full audit trail. All autonomous actions traceable to authoritative intent. Compliance posture continuously queryable without manual effort. Governance intelligence improving through operational evidence.</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Your timeline / notes:</w:t>
            </w:r>
          </w:p>
        </w:tc>
      </w:tr>
    </w:tbl>
    <w:p>
      <w:pPr>
        <w:spacing w:after="120"/>
      </w:pPr>
    </w:p>
    <w:p>
      <w:pPr>
        <w:pStyle w:val="Heading3"/>
      </w:pPr>
      <w:r>
        <w:rPr>
          <w:color w:val="1B2D4F"/>
        </w:rPr>
        <w:t xml:space="preserve">Roadmap Planning Worksheet</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559"/>
        <w:gridCol w:w="2462"/>
        <w:gridCol w:w="1231"/>
        <w:gridCol w:w="1231"/>
        <w:gridCol w:w="1597"/>
      </w:tblGrid>
      <w:tr>
        <w:trPr>
          <w:tblHeader/>
        </w:trPr>
        <w:tc>
          <w:tcPr>
            <w:tcW w:type="dxa" w:w="3559"/>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Phase</w:t>
            </w:r>
          </w:p>
        </w:tc>
        <w:tc>
          <w:tcPr>
            <w:tcW w:type="dxa" w:w="2462"/>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Target environment / scope</w:t>
            </w:r>
          </w:p>
        </w:tc>
        <w:tc>
          <w:tcPr>
            <w:tcW w:type="dxa" w:w="123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Target start date</w:t>
            </w:r>
          </w:p>
        </w:tc>
        <w:tc>
          <w:tcPr>
            <w:tcW w:type="dxa" w:w="1231"/>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Target completion</w:t>
            </w:r>
          </w:p>
        </w:tc>
        <w:tc>
          <w:tcPr>
            <w:tcW w:type="dxa" w:w="1597"/>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Owner / responsible team</w:t>
            </w:r>
          </w:p>
        </w:tc>
      </w:tr>
      <w:tr>
        <w:trPr>
          <w:tblHeader w:val="false"/>
        </w:trPr>
        <w:tc>
          <w:tcPr>
            <w:tcW w:type="dxa" w:w="355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1 — Model</w:t>
            </w:r>
          </w:p>
        </w:tc>
        <w:tc>
          <w:tcPr>
            <w:tcW w:type="dxa" w:w="246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Environment:</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59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Owner:</w:t>
            </w:r>
          </w:p>
        </w:tc>
      </w:tr>
      <w:tr>
        <w:trPr>
          <w:tblHeader w:val="false"/>
        </w:trPr>
        <w:tc>
          <w:tcPr>
            <w:tcW w:type="dxa" w:w="355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2 — Reconcile and govern</w:t>
            </w:r>
          </w:p>
        </w:tc>
        <w:tc>
          <w:tcPr>
            <w:tcW w:type="dxa" w:w="246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Environment:</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59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Owner:</w:t>
            </w:r>
          </w:p>
        </w:tc>
      </w:tr>
      <w:tr>
        <w:trPr>
          <w:tblHeader w:val="false"/>
        </w:trPr>
        <w:tc>
          <w:tcPr>
            <w:tcW w:type="dxa" w:w="355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3 — Govern automation</w:t>
            </w:r>
          </w:p>
        </w:tc>
        <w:tc>
          <w:tcPr>
            <w:tcW w:type="dxa" w:w="246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Environment:</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59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Owner:</w:t>
            </w:r>
          </w:p>
        </w:tc>
      </w:tr>
      <w:tr>
        <w:trPr>
          <w:tblHeader w:val="false"/>
        </w:trPr>
        <w:tc>
          <w:tcPr>
            <w:tcW w:type="dxa" w:w="3559"/>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Phase 4 — Enable AI operations</w:t>
            </w:r>
          </w:p>
        </w:tc>
        <w:tc>
          <w:tcPr>
            <w:tcW w:type="dxa" w:w="246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Environment:</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231"/>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Date:</w:t>
            </w:r>
          </w:p>
        </w:tc>
        <w:tc>
          <w:tcPr>
            <w:tcW w:type="dxa" w:w="1597"/>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Owner:</w:t>
            </w:r>
          </w:p>
        </w:tc>
      </w:tr>
    </w:tbl>
    <w:p>
      <w:pPr>
        <w:spacing w:after="120"/>
      </w:pPr>
    </w:p>
    <w:p>
      <w:pPr>
        <w:spacing w:after="20" w:before="260"/>
      </w:pPr>
      <w:r>
        <w:rPr>
          <w:b/>
          <w:bCs/>
          <w:color w:val="C8920A"/>
          <w:spacing w:val="40"/>
          <w:sz w:val="16"/>
          <w:szCs w:val="16"/>
        </w:rPr>
        <w:t xml:space="preserve">PART 5</w:t>
      </w:r>
    </w:p>
    <w:p>
      <w:pPr>
        <w:pStyle w:val="Heading1"/>
      </w:pPr>
      <w:r>
        <w:rPr>
          <w:color w:val="1B2D4F"/>
        </w:rPr>
        <w:t xml:space="preserve">IOM Conformance Checklist</w:t>
      </w:r>
    </w:p>
    <w:p>
      <w:pPr>
        <w:spacing w:after="120" w:line="276"/>
      </w:pPr>
      <w:r>
        <w:rPr>
          <w:sz w:val="21"/>
          <w:szCs w:val="21"/>
        </w:rPr>
        <w:t xml:space="preserve">Use this checklist to evaluate any solution — commercial or open source — claiming to provide Infrastructure Operating Model capabilities. The checklist is derived directly from the IOM Standard v1.0 normative requirements. A solution that cannot satisfy all mandatory requirements does not constitute a conformant IOM.</w:t>
      </w:r>
    </w:p>
    <w:p>
      <w:pPr>
        <w:pBdr>
          <w:left w:val="single" w:color="C8920A" w:sz="18" w:space="14"/>
        </w:pBdr>
        <w:shd w:fill="F2EFE8" w:val="clear"/>
        <w:spacing w:after="120" w:before="80" w:line="264"/>
        <w:ind w:left="240"/>
      </w:pPr>
      <w:r>
        <w:rPr>
          <w:b/>
          <w:bCs/>
          <w:sz w:val="20"/>
          <w:szCs w:val="20"/>
        </w:rPr>
        <w:t xml:space="preserve">How to use this checklist</w:t>
      </w:r>
      <w:r>
        <w:rPr>
          <w:sz w:val="20"/>
          <w:szCs w:val="20"/>
        </w:rPr>
        <w:t xml:space="preserve"> For each requirement, ask the vendor or project to demonstrate — not describe — the capability. Demonstrations should use your infrastructure data, not synthetic examples. A capability that exists in a roadmap or beta does not satisfy a mandatory requirement.</w:t>
      </w:r>
    </w:p>
    <w:p>
      <w:pPr>
        <w:pStyle w:val="Heading3"/>
      </w:pPr>
      <w:r>
        <w:rPr>
          <w:color w:val="1B2D4F"/>
        </w:rPr>
        <w:t xml:space="preserve">Mandatory requirements — all must be satisfied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40"/>
        <w:gridCol w:w="3202"/>
        <w:gridCol w:w="5598"/>
        <w:gridCol w:w="640"/>
      </w:tblGrid>
      <w:tr>
        <w:trPr>
          <w:tblHeader/>
        </w:trPr>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
            </w:r>
          </w:p>
        </w:tc>
        <w:tc>
          <w:tcPr>
            <w:tcW w:type="dxa" w:w="3202"/>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Requirement (IOM Standard v1.0 normative)</w:t>
            </w:r>
          </w:p>
        </w:tc>
        <w:tc>
          <w:tcPr>
            <w:tcW w:type="dxa" w:w="5598"/>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How to verify</w:t>
            </w:r>
          </w:p>
        </w:tc>
        <w:tc>
          <w:tcPr>
            <w:tcW w:type="dxa" w:w="640"/>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Evaluation 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Authoritative state modeling</w:t>
            </w:r>
            <w:r>
              <w:rPr>
                <w:sz w:val="18"/>
                <w:szCs w:val="18"/>
              </w:rPr>
              <w:t xml:space="preserve"> The solution maintains a continuously updated, canonical model of infrastructure state — including assets, relationships, configurations, and dependencies — without relying on human-maintained records or periodic snapshots.</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how the model is updated when a new service is deployed. How quickly does the model reflect reality? How are relationships captured?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Explicit intent and blueprint governance</w:t>
            </w:r>
            <w:r>
              <w:rPr>
                <w:sz w:val="18"/>
                <w:szCs w:val="18"/>
              </w:rPr>
              <w:t xml:space="preserve"> Infrastructure intent is encoded as explicit, machine-readable blueprints — separate from IaC or configuration code. Intent is declared, not inferred from runtime behavior.</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how intent is defined. Where does it live? How is it versioned? Show me a blueprint and explain how it differs from a Terraform module.</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Continuous built-vs-running-state reconciliation</w:t>
            </w:r>
            <w:r>
              <w:rPr>
                <w:sz w:val="18"/>
                <w:szCs w:val="18"/>
              </w:rPr>
              <w:t xml:space="preserve"> The solution continuously compares intended state, built state, and actual running state. Reconciliation is real-time — not a scheduled scan.</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the reconciliation running live. How is drift classified? What happens when running state diverges from built state?</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Pre-execution validation</w:t>
            </w:r>
            <w:r>
              <w:rPr>
                <w:sz w:val="18"/>
                <w:szCs w:val="18"/>
              </w:rPr>
              <w:t xml:space="preserve"> Governance decisions are made before execution — not after. Proposed changes are validated against intent and constraints before automation, pipelines, or AI agents act.</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a change being validated before it executes. What happens when a change violates a blueprint constraint? Can a violating change proceed?</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Explicit ownership and blast-radius awareness</w:t>
            </w:r>
            <w:r>
              <w:rPr>
                <w:sz w:val="18"/>
                <w:szCs w:val="18"/>
              </w:rPr>
              <w:t xml:space="preserve"> Ownership of every infrastructure element is explicitly encoded and machine-readable. Blast radius for any change is deterministic before execution — not estimated.</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who owns this service. Show me what the blast radius of this change is. How is ownership kept current?</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Automated evidence generation</w:t>
            </w:r>
            <w:r>
              <w:rPr>
                <w:sz w:val="18"/>
                <w:szCs w:val="18"/>
              </w:rPr>
              <w:t xml:space="preserve"> Audit evidence is produced continuously as a byproduct of governed operation. Evidence is structured, queryable, and traceable from intent to action.</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the evidence trail for a recent change. How would I answer an auditor</w:t>
            </w:r>
            <w:r>
              <w:rPr>
                <w:b/>
                <w:bCs/>
                <w:sz w:val="18"/>
                <w:szCs w:val="18"/>
              </w:rPr>
              <w:t xml:space="preserve">'</w:t>
            </w:r>
            <w:r>
              <w:rPr>
                <w:sz w:val="18"/>
                <w:szCs w:val="18"/>
              </w:rPr>
              <w:t xml:space="preserve">s question about what changed and who authorized it?</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r>
        <w:trPr>
          <w:tblHeader w:val="false"/>
        </w:trPr>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 ]</w:t>
            </w:r>
          </w:p>
        </w:tc>
        <w:tc>
          <w:tcPr>
            <w:tcW w:type="dxa" w:w="320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AI-safe reasoning substrate</w:t>
            </w:r>
            <w:r>
              <w:rPr>
                <w:sz w:val="18"/>
                <w:szCs w:val="18"/>
              </w:rPr>
              <w:t xml:space="preserve"> AI systems operating on top of the platform consume authoritative infrastructure context and explicit intent boundaries — not inferred signals. AI decisions are bounded, explainable, and auditable.</w:t>
            </w:r>
          </w:p>
        </w:tc>
        <w:tc>
          <w:tcPr>
            <w:tcW w:type="dxa" w:w="5598"/>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Ask: Show me how an AI agent</w:t>
            </w:r>
            <w:r>
              <w:rPr>
                <w:b/>
                <w:bCs/>
                <w:sz w:val="18"/>
                <w:szCs w:val="18"/>
              </w:rPr>
              <w:t xml:space="preserve">'</w:t>
            </w:r>
            <w:r>
              <w:rPr>
                <w:sz w:val="18"/>
                <w:szCs w:val="18"/>
              </w:rPr>
              <w:t xml:space="preserve">s action is bounded by the operating model. What prevents an AI agent from acting outside defined intent? Show me the audit trail for an AI-initiated action.</w:t>
            </w:r>
          </w:p>
        </w:tc>
        <w:tc>
          <w:tcPr>
            <w:tcW w:type="dxa" w:w="640"/>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Notes:</w:t>
            </w:r>
          </w:p>
        </w:tc>
      </w:tr>
    </w:tbl>
    <w:p>
      <w:pPr>
        <w:spacing w:after="120"/>
      </w:pPr>
    </w:p>
    <w:p>
      <w:pPr>
        <w:pStyle w:val="Heading3"/>
      </w:pPr>
      <w:r>
        <w:rPr>
          <w:color w:val="1B2D4F"/>
        </w:rPr>
        <w:t xml:space="preserve">Claims that do not satisfy IOM requirements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313"/>
        <w:gridCol w:w="4032"/>
        <w:gridCol w:w="4735"/>
      </w:tblGrid>
      <w:tr>
        <w:trPr>
          <w:tblHeader/>
        </w:trPr>
        <w:tc>
          <w:tcPr>
            <w:tcW w:type="dxa" w:w="1313"/>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Vendor claim</w:t>
            </w:r>
          </w:p>
        </w:tc>
        <w:tc>
          <w:tcPr>
            <w:tcW w:type="dxa" w:w="4032"/>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Why it does not satisfy IOM requirements</w:t>
            </w:r>
          </w:p>
        </w:tc>
        <w:tc>
          <w:tcPr>
            <w:tcW w:type="dxa" w:w="4735"/>
            <w:tcBorders>
              <w:top w:val="single" w:color="D9D2C6" w:sz="1"/>
              <w:left w:val="single" w:color="D9D2C6" w:sz="1"/>
              <w:bottom w:val="single" w:color="D9D2C6" w:sz="1"/>
              <w:right w:val="single" w:color="D9D2C6" w:sz="1"/>
            </w:tcBorders>
            <w:shd w:fill="1B2D4F" w:val="clear"/>
            <w:tcMar>
              <w:top w:type="dxa" w:w="60"/>
              <w:left w:type="dxa" w:w="110"/>
              <w:bottom w:type="dxa" w:w="60"/>
              <w:right w:type="dxa" w:w="110"/>
            </w:tcMar>
            <w:vAlign w:val="center"/>
          </w:tcPr>
          <w:p>
            <w:pPr>
              <w:spacing w:after="0" w:line="248"/>
            </w:pPr>
            <w:r>
              <w:rPr>
                <w:b/>
                <w:bCs/>
                <w:color w:val="FFFFFF"/>
                <w:sz w:val="18"/>
                <w:szCs w:val="18"/>
              </w:rPr>
              <w:t xml:space="preserve">The question to ask</w:t>
            </w:r>
          </w:p>
        </w:tc>
      </w:tr>
      <w:tr>
        <w:trPr>
          <w:tblHeader w:val="false"/>
        </w:trPr>
        <w:tc>
          <w:tcPr>
            <w:tcW w:type="dxa" w:w="131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w:t>
            </w:r>
            <w:r>
              <w:rPr>
                <w:b/>
                <w:bCs/>
                <w:sz w:val="18"/>
                <w:szCs w:val="18"/>
              </w:rPr>
              <w:t xml:space="preserve">We provide a digital twin</w:t>
            </w:r>
            <w:r>
              <w:rPr>
                <w:b/>
                <w:bCs/>
                <w:sz w:val="18"/>
                <w:szCs w:val="18"/>
              </w:rPr>
              <w:t xml:space="preserv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Digital twins describe infrastructure through observation. They are outside the execution path and advisory in function. An IOM governs through authority — it sits upstream of execution and makes binding determinations of legitimacy.</w:t>
            </w:r>
          </w:p>
        </w:tc>
        <w:tc>
          <w:tcPr>
            <w:tcW w:type="dxa" w:w="473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Does your twin sit in the execution path as an authority layer? Or does it observe after the fact?</w:t>
            </w:r>
          </w:p>
        </w:tc>
      </w:tr>
      <w:tr>
        <w:trPr>
          <w:tblHeader w:val="false"/>
        </w:trPr>
        <w:tc>
          <w:tcPr>
            <w:tcW w:type="dxa" w:w="131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w:t>
            </w:r>
            <w:r>
              <w:rPr>
                <w:b/>
                <w:bCs/>
                <w:sz w:val="18"/>
                <w:szCs w:val="18"/>
              </w:rPr>
              <w:t xml:space="preserve">We manage infrastructure state</w:t>
            </w:r>
            <w:r>
              <w:rPr>
                <w:b/>
                <w:bCs/>
                <w:sz w:val="18"/>
                <w:szCs w:val="18"/>
              </w:rPr>
              <w:t xml:space="preserv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State management describes what exists. An IOM continuously reconciles what exists against what is intended to exist — and enforces that relationship. State management without reconciliation is an inventory, not a governing model.</w:t>
            </w:r>
          </w:p>
        </w:tc>
        <w:tc>
          <w:tcPr>
            <w:tcW w:type="dxa" w:w="473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Is your state continuously reconciled against declared intent? Or is it updated to reflect what was deployed?</w:t>
            </w:r>
          </w:p>
        </w:tc>
      </w:tr>
      <w:tr>
        <w:trPr>
          <w:tblHeader w:val="false"/>
        </w:trPr>
        <w:tc>
          <w:tcPr>
            <w:tcW w:type="dxa" w:w="131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w:t>
            </w:r>
            <w:r>
              <w:rPr>
                <w:b/>
                <w:bCs/>
                <w:sz w:val="18"/>
                <w:szCs w:val="18"/>
              </w:rPr>
              <w:t xml:space="preserve">We enforce policy</w:t>
            </w:r>
            <w:r>
              <w:rPr>
                <w:b/>
                <w:bCs/>
                <w:sz w:val="18"/>
                <w:szCs w:val="18"/>
              </w:rPr>
              <w:t xml:space="preserv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Policy enforcement evaluates rules. An IOM evaluates rules in the context of an authoritative, continuously reconciled model of infrastructure state, intent, and ownership. Rules without architectural context cannot determine legitimacy or blast radius.</w:t>
            </w:r>
          </w:p>
        </w:tc>
        <w:tc>
          <w:tcPr>
            <w:tcW w:type="dxa" w:w="473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Are your policies evaluated against an authoritative infrastructure model? Or are they rule-checked in isolation?</w:t>
            </w:r>
          </w:p>
        </w:tc>
      </w:tr>
      <w:tr>
        <w:trPr>
          <w:tblHeader w:val="false"/>
        </w:trPr>
        <w:tc>
          <w:tcPr>
            <w:tcW w:type="dxa" w:w="131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w:t>
            </w:r>
            <w:r>
              <w:rPr>
                <w:b/>
                <w:bCs/>
                <w:sz w:val="18"/>
                <w:szCs w:val="18"/>
              </w:rPr>
              <w:t xml:space="preserve">We have continuous compliance</w:t>
            </w:r>
            <w:r>
              <w:rPr>
                <w:b/>
                <w:bCs/>
                <w:sz w:val="18"/>
                <w:szCs w:val="18"/>
              </w:rPr>
              <w:t xml:space="preserv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Continuous compliance scanning detects violations after they occur. An IOM prevents violations from occurring through pre-execution validation — compliance is a byproduct, not a scan result.</w:t>
            </w:r>
          </w:p>
        </w:tc>
        <w:tc>
          <w:tcPr>
            <w:tcW w:type="dxa" w:w="473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Does compliance happen before execution — or do you detect non-compliance after it occurs?</w:t>
            </w:r>
          </w:p>
        </w:tc>
      </w:tr>
      <w:tr>
        <w:trPr>
          <w:tblHeader w:val="false"/>
        </w:trPr>
        <w:tc>
          <w:tcPr>
            <w:tcW w:type="dxa" w:w="131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w:t>
            </w:r>
            <w:r>
              <w:rPr>
                <w:b/>
                <w:bCs/>
                <w:sz w:val="18"/>
                <w:szCs w:val="18"/>
              </w:rPr>
              <w:t xml:space="preserve">We support AI operations</w:t>
            </w:r>
            <w:r>
              <w:rPr>
                <w:b/>
                <w:bCs/>
                <w:sz w:val="18"/>
                <w:szCs w:val="18"/>
              </w:rPr>
              <w:t xml:space="preserv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Supporting AI with telemetry or recommendations is not the same as providing an authoritative substrate. AI must consume explicitly defined intent and boundaries — not infer them from logs, metrics, or patterns.</w:t>
            </w:r>
          </w:p>
        </w:tc>
        <w:tc>
          <w:tcPr>
            <w:tcW w:type="dxa" w:w="473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Does your AI operate on authoritative, pre-validated context? Or does it infer intent from operational data?</w:t>
            </w:r>
          </w:p>
        </w:tc>
      </w:tr>
      <w:tr>
        <w:trPr>
          <w:tblHeader w:val="false"/>
        </w:trPr>
        <w:tc>
          <w:tcPr>
            <w:tcW w:type="dxa" w:w="1313"/>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b/>
                <w:bCs/>
                <w:sz w:val="18"/>
                <w:szCs w:val="18"/>
              </w:rPr>
              <w:t xml:space="preserve">"</w:t>
            </w:r>
            <w:r>
              <w:rPr>
                <w:b/>
                <w:bCs/>
                <w:sz w:val="18"/>
                <w:szCs w:val="18"/>
              </w:rPr>
              <w:t xml:space="preserve">We do continuous discovery</w:t>
            </w:r>
            <w:r>
              <w:rPr>
                <w:b/>
                <w:bCs/>
                <w:sz w:val="18"/>
                <w:szCs w:val="18"/>
              </w:rPr>
              <w:t xml:space="preserve">"</w:t>
            </w:r>
          </w:p>
        </w:tc>
        <w:tc>
          <w:tcPr>
            <w:tcW w:type="dxa" w:w="4032"/>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sz w:val="18"/>
                <w:szCs w:val="18"/>
              </w:rPr>
              <w:t xml:space="preserve">Discovery builds an inventory of what exists. It does not encode intent, enforce constraints, or validate actions before execution. An IOM requires all three — discovery is a necessary input, not an IOM in itself.</w:t>
            </w:r>
          </w:p>
        </w:tc>
        <w:tc>
          <w:tcPr>
            <w:tcW w:type="dxa" w:w="4735"/>
            <w:tcBorders>
              <w:top w:val="single" w:color="D9D2C6" w:sz="1"/>
              <w:left w:val="single" w:color="D9D2C6" w:sz="1"/>
              <w:bottom w:val="single" w:color="D9D2C6" w:sz="1"/>
              <w:right w:val="single" w:color="D9D2C6" w:sz="1"/>
            </w:tcBorders>
            <w:tcMar>
              <w:top w:type="dxa" w:w="60"/>
              <w:left w:type="dxa" w:w="110"/>
              <w:bottom w:type="dxa" w:w="60"/>
              <w:right w:type="dxa" w:w="110"/>
            </w:tcMar>
            <w:vAlign w:val="center"/>
          </w:tcPr>
          <w:p>
            <w:pPr>
              <w:spacing w:after="0" w:line="248"/>
            </w:pPr>
            <w:r>
              <w:rPr>
                <w:i/>
                <w:iCs/>
                <w:sz w:val="18"/>
                <w:szCs w:val="18"/>
              </w:rPr>
              <w:t xml:space="preserve">Is your discovery model used to validate actions before execution? Or is it a visibility tool?</w:t>
            </w:r>
          </w:p>
        </w:tc>
      </w:tr>
    </w:tbl>
    <w:p>
      <w:pPr>
        <w:spacing w:after="120"/>
      </w:pPr>
    </w:p>
    <w:p>
      <w:pPr>
        <w:pStyle w:val="Heading1"/>
      </w:pPr>
      <w:r>
        <w:rPr>
          <w:color w:val="1B2D4F"/>
        </w:rPr>
        <w:t xml:space="preserve">Next steps</w:t>
      </w:r>
    </w:p>
    <w:p>
      <w:pPr>
        <w:spacing w:after="120" w:line="276"/>
      </w:pPr>
      <w:r>
        <w:rPr>
          <w:b/>
          <w:bCs/>
          <w:sz w:val="21"/>
          <w:szCs w:val="21"/>
        </w:rPr>
        <w:t xml:space="preserve">After completing this kit</w:t>
      </w:r>
    </w:p>
    <w:p>
      <w:pPr>
        <w:pStyle w:val="ListParagraph"/>
        <w:numPr>
          <w:ilvl w:val="0"/>
          <w:numId w:val="2"/>
        </w:numPr>
        <w:spacing w:after="60" w:line="264"/>
      </w:pPr>
      <w:r>
        <w:rPr>
          <w:b/>
          <w:bCs/>
          <w:sz w:val="21"/>
          <w:szCs w:val="21"/>
        </w:rPr>
        <w:t xml:space="preserve">1.  Score interpretation:  </w:t>
      </w:r>
      <w:r>
        <w:rPr>
          <w:sz w:val="21"/>
          <w:szCs w:val="21"/>
        </w:rPr>
        <w:t xml:space="preserve">Review your maturity scores as a team. Scores below 2 in Dimensions 3 (Reconciliation) or 5 (Governance at Execution) indicate the highest-priority gaps — these are the capabilities that define the difference between an IOM and a collection of governance tools.</w:t>
      </w:r>
    </w:p>
    <w:p>
      <w:pPr>
        <w:pStyle w:val="ListParagraph"/>
        <w:numPr>
          <w:ilvl w:val="0"/>
          <w:numId w:val="2"/>
        </w:numPr>
        <w:spacing w:after="60" w:line="264"/>
      </w:pPr>
      <w:r>
        <w:rPr>
          <w:b/>
          <w:bCs/>
          <w:sz w:val="21"/>
          <w:szCs w:val="21"/>
        </w:rPr>
        <w:t xml:space="preserve">2.  Gap prioritization:  </w:t>
      </w:r>
      <w:r>
        <w:rPr>
          <w:sz w:val="21"/>
          <w:szCs w:val="21"/>
        </w:rPr>
        <w:t xml:space="preserve">Identify your top three gaps from Part 3. For each, determine whether the gap is addressable through configuration and process changes to existing tools, or whether it represents a structural absence requiring a new capability.</w:t>
      </w:r>
    </w:p>
    <w:p>
      <w:pPr>
        <w:pStyle w:val="ListParagraph"/>
        <w:numPr>
          <w:ilvl w:val="0"/>
          <w:numId w:val="2"/>
        </w:numPr>
        <w:spacing w:after="60" w:line="264"/>
      </w:pPr>
      <w:r>
        <w:rPr>
          <w:b/>
          <w:bCs/>
          <w:sz w:val="21"/>
          <w:szCs w:val="21"/>
        </w:rPr>
        <w:t xml:space="preserve">3.  Phase 1 scoping:  </w:t>
      </w:r>
      <w:r>
        <w:rPr>
          <w:sz w:val="21"/>
          <w:szCs w:val="21"/>
        </w:rPr>
        <w:t xml:space="preserve">Select an initial environment for IOM Phase 1 adoption. Regulated environments, high-change environments, or environments where AI operations are planned are the highest-value starting points. The initial scope should be small enough to complete modeling in 30–60 days.</w:t>
      </w:r>
    </w:p>
    <w:p>
      <w:pPr>
        <w:pStyle w:val="ListParagraph"/>
        <w:numPr>
          <w:ilvl w:val="0"/>
          <w:numId w:val="2"/>
        </w:numPr>
        <w:spacing w:after="60" w:line="264"/>
      </w:pPr>
      <w:r>
        <w:rPr>
          <w:b/>
          <w:bCs/>
          <w:sz w:val="21"/>
          <w:szCs w:val="21"/>
        </w:rPr>
        <w:t xml:space="preserve">4.  Working group:  </w:t>
      </w:r>
      <w:r>
        <w:rPr>
          <w:sz w:val="21"/>
          <w:szCs w:val="21"/>
        </w:rPr>
        <w:t xml:space="preserve">Consider joining the IOM working group at theIOM.org. Practitioners who have completed this assessment and are pursuing adoption are eligible for working group membership and contribute directly to the evolution of the standard.</w:t>
      </w:r>
    </w:p>
    <w:p>
      <w:pPr>
        <w:spacing w:after="120" w:line="276"/>
      </w:pPr>
      <w:r>
        <w:rPr>
          <w:sz w:val="21"/>
          <w:szCs w:val="21"/>
        </w:rPr>
        <w:t xml:space="preserve">theIOM.org  |  IOM Standard v1.0  |  Open Standard  |  Community Governed</w:t>
      </w:r>
    </w:p>
    <w:p>
      <w:pPr>
        <w:spacing w:after="120" w:line="276"/>
      </w:pPr>
      <w:r>
        <w:rPr>
          <w:sz w:val="21"/>
          <w:szCs w:val="21"/>
        </w:rPr>
        <w:t xml:space="preserve">Infrastructure Operating Model Standard  |  Open Standard  |  Community Governed	Page</w:t>
      </w:r>
    </w:p>
    <w:sectPr>
      <w:footerReference w:type="default" r:id="rId7"/>
      <w:pgSz w:w="12240" w:h="15840" w:orient="portrait"/>
      <w:pgMar w:top="1280" w:right="1080" w:bottom="12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2C6" w:sz="2" w:space="6"/>
      </w:pBdr>
      <w:tabs>
        <w:tab w:val="center" w:pos="5040"/>
        <w:tab w:val="right" w:pos="10080"/>
      </w:tabs>
    </w:pPr>
    <w:r>
      <w:rPr>
        <w:color w:val="4A5568"/>
        <w:sz w:val="15"/>
        <w:szCs w:val="15"/>
      </w:rPr>
      <w:t xml:space="preserve">IOM Starter Kit</w:t>
    </w:r>
    <w:r>
      <w:rPr>
        <w:color w:val="4A5568"/>
        <w:sz w:val="15"/>
        <w:szCs w:val="15"/>
      </w:rPr>
      <w:t xml:space="preserve">	theIOM.org · CC BY 4.0	</w:t>
    </w:r>
    <w:r>
      <w:rPr>
        <w:color w:val="4A5568"/>
        <w:sz w:val="15"/>
        <w:szCs w:val="15"/>
      </w:rPr>
      <w:t xml:space="preserve"/>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60"/>
      </w:pPr>
      <w:rPr>
        <w:color w:val="C8920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3262B"/>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8920A" w:sz="4" w:space="6"/>
      </w:pBdr>
      <w:spacing w:after="80" w:before="300"/>
      <w:outlineLvl w:val="0"/>
    </w:pPr>
    <w:rPr>
      <w:rFonts w:ascii="Arial" w:cs="Arial" w:eastAsia="Arial" w:hAnsi="Arial"/>
      <w:b/>
      <w:bCs/>
      <w:color w:val="1B2D4F"/>
      <w:sz w:val="28"/>
      <w:szCs w:val="28"/>
    </w:rPr>
  </w:style>
  <w:style w:type="paragraph" w:styleId="Heading2">
    <w:name w:val="Heading 2"/>
    <w:basedOn w:val="Normal"/>
    <w:next w:val="Normal"/>
    <w:qFormat/>
    <w:pPr>
      <w:spacing w:after="70" w:before="220"/>
      <w:outlineLvl w:val="1"/>
    </w:pPr>
    <w:rPr>
      <w:rFonts w:ascii="Arial" w:cs="Arial" w:eastAsia="Arial" w:hAnsi="Arial"/>
      <w:b/>
      <w:bCs/>
      <w:color w:val="1B2D4F"/>
      <w:sz w:val="24"/>
      <w:szCs w:val="24"/>
    </w:rPr>
  </w:style>
  <w:style w:type="paragraph" w:styleId="Heading3">
    <w:name w:val="Heading 3"/>
    <w:basedOn w:val="Normal"/>
    <w:next w:val="Normal"/>
    <w:qFormat/>
    <w:pPr>
      <w:spacing w:after="60" w:before="180"/>
      <w:outlineLvl w:val="2"/>
    </w:pPr>
    <w:rPr>
      <w:rFonts w:ascii="Arial" w:cs="Arial" w:eastAsia="Arial" w:hAnsi="Arial"/>
      <w:b/>
      <w:bCs/>
      <w:color w:val="1B2D4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IOM Starter Kit</dc:title>
  <dc:creator>theIOM.org working group</dc:creator>
  <cp:lastModifiedBy>Un-named</cp:lastModifiedBy>
  <cp:revision>1</cp:revision>
  <dcterms:created xsi:type="dcterms:W3CDTF">2026-06-22T01:40:15.886Z</dcterms:created>
  <dcterms:modified xsi:type="dcterms:W3CDTF">2026-06-22T01:40:15.886Z</dcterms:modified>
</cp:coreProperties>
</file>

<file path=docProps/custom.xml><?xml version="1.0" encoding="utf-8"?>
<Properties xmlns="http://schemas.openxmlformats.org/officeDocument/2006/custom-properties" xmlns:vt="http://schemas.openxmlformats.org/officeDocument/2006/docPropsVTypes"/>
</file>