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C8920A" w:sz="20" w:space="0"/>
        </w:pBdr>
        <w:spacing w:after="160"/>
      </w:pPr>
      <w:r>
        <w:rPr>
          <w:sz w:val="2"/>
          <w:szCs w:val="2"/>
        </w:rPr>
        <w:t xml:space="preserve"/>
      </w:r>
    </w:p>
    <w:p>
      <w:pPr>
        <w:pBdr>
          <w:bottom w:val="single" w:color="D9D2C6" w:sz="4" w:space="6"/>
        </w:pBdr>
        <w:spacing w:after="60"/>
        <w:jc w:val="right"/>
      </w:pPr>
      <w:r>
        <w:rPr>
          <w:rFonts w:ascii="DM Sans" w:cs="DM Sans" w:eastAsia="DM Sans" w:hAnsi="DM Sans"/>
          <w:b/>
          <w:bCs/>
          <w:color w:val="C8920A"/>
          <w:spacing w:val="44"/>
          <w:sz w:val="15"/>
          <w:szCs w:val="15"/>
        </w:rPr>
        <w:t xml:space="preserve">AN IOM STANDARD WHITEPAPER</w:t>
      </w:r>
    </w:p>
    <w:p>
      <w:pPr>
        <w:spacing w:after="120" w:before="520"/>
      </w:pPr>
      <w:r>
        <w:rPr>
          <w:rFonts w:ascii="DM Sans" w:cs="DM Sans" w:eastAsia="DM Sans" w:hAnsi="DM Sans"/>
          <w:b/>
          <w:bCs/>
          <w:color w:val="C8920A"/>
          <w:spacing w:val="30"/>
          <w:sz w:val="17"/>
          <w:szCs w:val="17"/>
        </w:rPr>
        <w:t xml:space="preserve">FOUNDATIONS · REFERENCE ARCHITECTURE</w:t>
      </w:r>
    </w:p>
    <w:p>
      <w:pPr>
        <w:spacing w:after="120"/>
      </w:pPr>
      <w:r>
        <w:rPr>
          <w:rFonts w:ascii="DM Serif Display" w:cs="DM Serif Display" w:eastAsia="DM Serif Display" w:hAnsi="DM Serif Display"/>
          <w:color w:val="1B2D4F"/>
          <w:sz w:val="62"/>
          <w:szCs w:val="62"/>
        </w:rPr>
        <w:t xml:space="preserve">Model Inversion</w:t>
      </w:r>
    </w:p>
    <w:p>
      <w:pPr>
        <w:pBdr>
          <w:bottom w:val="single" w:color="C8920A" w:sz="18" w:space="1"/>
        </w:pBdr>
        <w:spacing w:after="260"/>
        <w:ind w:right="8064"/>
      </w:pPr>
      <w:r>
        <w:rPr>
          <w:sz w:val="2"/>
          <w:szCs w:val="2"/>
        </w:rPr>
        <w:t xml:space="preserve"/>
      </w:r>
    </w:p>
    <w:p>
      <w:pPr>
        <w:pBdr>
          <w:top w:val="single" w:color="D9D2C6" w:sz="4" w:space="10"/>
          <w:left w:val="single" w:color="C8920A" w:sz="18" w:space="10"/>
          <w:right w:val="single" w:color="D9D2C6" w:sz="4" w:space="10"/>
        </w:pBdr>
        <w:shd w:fill="FFFFFF" w:val="clear"/>
        <w:spacing w:after="60"/>
      </w:pPr>
      <w:r>
        <w:rPr>
          <w:rFonts w:ascii="DM Sans" w:cs="DM Sans" w:eastAsia="DM Sans" w:hAnsi="DM Sans"/>
          <w:b/>
          <w:bCs/>
          <w:color w:val="C8920A"/>
          <w:spacing w:val="32"/>
          <w:sz w:val="15"/>
          <w:szCs w:val="15"/>
        </w:rPr>
        <w:t xml:space="preserve">ABSTRACT</w:t>
      </w:r>
    </w:p>
    <w:p>
      <w:pPr>
        <w:pBdr>
          <w:bottom w:val="single" w:color="D9D2C6" w:sz="4" w:space="10"/>
          <w:left w:val="single" w:color="C8920A" w:sz="18" w:space="10"/>
          <w:right w:val="single" w:color="D9D2C6" w:sz="4" w:space="10"/>
        </w:pBdr>
        <w:spacing w:after="280"/>
      </w:pPr>
      <w:r>
        <w:rPr>
          <w:rFonts w:ascii="DM Sans" w:cs="DM Sans" w:eastAsia="DM Sans" w:hAnsi="DM Sans"/>
          <w:b/>
          <w:bCs/>
          <w:color w:val="1B2D4F"/>
          <w:sz w:val="20"/>
          <w:szCs w:val="20"/>
        </w:rPr>
        <w:t xml:space="preserve">Model Inversion puts the model before the event.</w:t>
      </w:r>
      <w:r>
        <w:rPr>
          <w:rFonts w:ascii="DM Sans" w:cs="DM Sans" w:eastAsia="DM Sans" w:hAnsi="DM Sans"/>
          <w:color w:val="222C3A"/>
          <w:sz w:val="20"/>
          <w:szCs w:val="20"/>
        </w:rPr>
        <w:t xml:space="preserve"> (In full: </w:t>
      </w:r>
      <w:r>
        <w:rPr>
          <w:rFonts w:ascii="DM Sans" w:cs="DM Sans" w:eastAsia="DM Sans" w:hAnsi="DM Sans"/>
          <w:i/>
          <w:iCs/>
          <w:color w:val="222C3A"/>
          <w:sz w:val="20"/>
          <w:szCs w:val="20"/>
        </w:rPr>
        <w:t xml:space="preserve">Infrastructure</w:t>
      </w:r>
      <w:r>
        <w:rPr>
          <w:rFonts w:ascii="DM Sans" w:cs="DM Sans" w:eastAsia="DM Sans" w:hAnsi="DM Sans"/>
          <w:color w:val="222C3A"/>
          <w:sz w:val="20"/>
          <w:szCs w:val="20"/>
        </w:rPr>
        <w:t xml:space="preserve"> Model Inversion — distinct from the machine-learning attack that shares the short name.) For as long as enterprises have run complex infrastructure, operations have worked in one direction: something happens, telemetry records it, people interpret the record, and from the interpretation they reconstruct what was probably intended. Events → telemetry → interpretation → inferred intent. The environment speaks first; the organization deduces its own intentions afterward, from the evidence. Model Inversion is the reversal of that direction. It is the shift from using observability to </w:t>
      </w:r>
      <w:r>
        <w:rPr>
          <w:rFonts w:ascii="DM Sans" w:cs="DM Sans" w:eastAsia="DM Sans" w:hAnsi="DM Sans"/>
          <w:i/>
          <w:iCs/>
          <w:color w:val="222C3A"/>
          <w:sz w:val="20"/>
          <w:szCs w:val="20"/>
        </w:rPr>
        <w:t xml:space="preserve">infer</w:t>
      </w:r>
      <w:r>
        <w:rPr>
          <w:rFonts w:ascii="DM Sans" w:cs="DM Sans" w:eastAsia="DM Sans" w:hAnsi="DM Sans"/>
          <w:color w:val="222C3A"/>
          <w:sz w:val="20"/>
          <w:szCs w:val="20"/>
        </w:rPr>
        <w:t xml:space="preserve"> how infrastructure should operate, to using an authoritative infrastructure model to </w:t>
      </w:r>
      <w:r>
        <w:rPr>
          <w:rFonts w:ascii="DM Sans" w:cs="DM Sans" w:eastAsia="DM Sans" w:hAnsi="DM Sans"/>
          <w:i/>
          <w:iCs/>
          <w:color w:val="222C3A"/>
          <w:sz w:val="20"/>
          <w:szCs w:val="20"/>
        </w:rPr>
        <w:t xml:space="preserve">define</w:t>
      </w:r>
      <w:r>
        <w:rPr>
          <w:rFonts w:ascii="DM Sans" w:cs="DM Sans" w:eastAsia="DM Sans" w:hAnsi="DM Sans"/>
          <w:color w:val="222C3A"/>
          <w:sz w:val="20"/>
          <w:szCs w:val="20"/>
        </w:rPr>
        <w:t xml:space="preserve"> intended operation — and using observability to verify it. Intent → governed change → execution → observability → verification. Intent stops being the conclusion of the pipeline and becomes its first input.</w:t>
      </w:r>
    </w:p>
    <w:p>
      <w:pPr>
        <w:pBdr>
          <w:top w:val="single" w:color="D9D2C6" w:sz="4" w:space="8"/>
        </w:pBdr>
        <w:spacing w:after="40"/>
      </w:pPr>
      <w:r>
        <w:rPr>
          <w:rFonts w:ascii="DM Sans" w:cs="DM Sans" w:eastAsia="DM Sans" w:hAnsi="DM Sans"/>
          <w:color w:val="4A5568"/>
          <w:sz w:val="17"/>
          <w:szCs w:val="17"/>
        </w:rPr>
        <w:t xml:space="preserve">An open publication of The IOM Standard. Distributed under CC BY 4.0. “Proposed standard” — vendor-neutral, community-governed.</w:t>
      </w:r>
    </w:p>
    <w:p>
      <w:pPr>
        <w:spacing w:after="0"/>
        <w:jc w:val="right"/>
      </w:pPr>
      <w:r>
        <w:rPr>
          <w:rFonts w:ascii="DM Sans" w:cs="DM Sans" w:eastAsia="DM Sans" w:hAnsi="DM Sans"/>
          <w:color w:val="4A5568"/>
          <w:sz w:val="17"/>
          <w:szCs w:val="17"/>
        </w:rPr>
        <w:t xml:space="preserve">theIOM.org</w:t>
      </w:r>
    </w:p>
    <w:p>
      <w:r>
        <w:br w:type="page"/>
      </w:r>
    </w:p>
    <w:p>
      <w:pPr>
        <w:pBdr>
          <w:bottom w:val="single" w:color="C8920A" w:sz="12" w:space="5"/>
        </w:pBdr>
        <w:spacing w:after="140" w:before="340"/>
      </w:pPr>
      <w:r>
        <w:rPr>
          <w:rFonts w:ascii="DM Serif Display" w:cs="DM Serif Display" w:eastAsia="DM Serif Display" w:hAnsi="DM Serif Display"/>
          <w:color w:val="1B2D4F"/>
          <w:sz w:val="30"/>
          <w:szCs w:val="30"/>
        </w:rPr>
        <w:t xml:space="preserve">1. The backward architecture</w:t>
      </w:r>
    </w:p>
    <w:p>
      <w:pPr>
        <w:spacing w:after="200"/>
      </w:pPr>
      <w:r>
        <w:rPr>
          <w:rFonts w:ascii="DM Sans" w:cs="DM Sans" w:eastAsia="DM Sans" w:hAnsi="DM Sans"/>
          <w:color w:val="222C3A"/>
          <w:sz w:val="21"/>
          <w:szCs w:val="21"/>
        </w:rPr>
        <w:t xml:space="preserve">Working backward is so universal that it rarely registers as a choice. The tooling assumes it: monitoring, observability, correlation, and incident response are all instruments for answering the question </w:t>
      </w:r>
      <w:r>
        <w:rPr>
          <w:rFonts w:ascii="DM Sans" w:cs="DM Sans" w:eastAsia="DM Sans" w:hAnsi="DM Sans"/>
          <w:i/>
          <w:iCs/>
          <w:color w:val="222C3A"/>
          <w:sz w:val="21"/>
          <w:szCs w:val="21"/>
        </w:rPr>
        <w:t xml:space="preserve">what just happened, and was it supposed to?</w:t>
      </w:r>
      <w:r>
        <w:rPr>
          <w:rFonts w:ascii="DM Sans" w:cs="DM Sans" w:eastAsia="DM Sans" w:hAnsi="DM Sans"/>
          <w:color w:val="222C3A"/>
          <w:sz w:val="21"/>
          <w:szCs w:val="21"/>
        </w:rPr>
        <w:t xml:space="preserve"> — a question that only exists because nothing in the architecture recorded what was supposed to happen in the first place.</w:t>
      </w:r>
    </w:p>
    <w:p>
      <w:pPr>
        <w:spacing w:after="200"/>
      </w:pPr>
      <w:r>
        <w:rPr>
          <w:rFonts w:ascii="DM Sans" w:cs="DM Sans" w:eastAsia="DM Sans" w:hAnsi="DM Sans"/>
          <w:color w:val="222C3A"/>
          <w:sz w:val="21"/>
          <w:szCs w:val="21"/>
        </w:rPr>
        <w:t xml:space="preserve">The costs are familiar, even where the cause is not. Legitimacy is established after the event: a change appears in the environment, and someone determines — from tickets, memory, and context — whether it was authorized. Investigation is reconstruction: the intent behind any given state has to be rebuilt from artifacts that were never designed to carry it. And the posture is structurally reactive, because the earliest possible moment of intervention is </w:t>
      </w:r>
      <w:r>
        <w:rPr>
          <w:rFonts w:ascii="DM Sans" w:cs="DM Sans" w:eastAsia="DM Sans" w:hAnsi="DM Sans"/>
          <w:i/>
          <w:iCs/>
          <w:color w:val="222C3A"/>
          <w:sz w:val="21"/>
          <w:szCs w:val="21"/>
        </w:rPr>
        <w:t xml:space="preserve">after</w:t>
      </w:r>
      <w:r>
        <w:rPr>
          <w:rFonts w:ascii="DM Sans" w:cs="DM Sans" w:eastAsia="DM Sans" w:hAnsi="DM Sans"/>
          <w:color w:val="222C3A"/>
          <w:sz w:val="21"/>
          <w:szCs w:val="21"/>
        </w:rPr>
        <w:t xml:space="preserve"> the evidence exists, which is after the change has run.</w:t>
      </w:r>
    </w:p>
    <w:p>
      <w:pPr>
        <w:spacing w:after="200"/>
      </w:pPr>
      <w:r>
        <w:rPr>
          <w:rFonts w:ascii="DM Sans" w:cs="DM Sans" w:eastAsia="DM Sans" w:hAnsi="DM Sans"/>
          <w:color w:val="222C3A"/>
          <w:sz w:val="21"/>
          <w:szCs w:val="21"/>
        </w:rPr>
        <w:t xml:space="preserve">None of this is a criticism of observability. The instruments are excellent. They are simply being asked to serve as the organization's memory of its own intentions — a job no amount of telemetry can perform, because intent was never in the data.</w:t>
      </w:r>
    </w:p>
    <w:p>
      <w:pPr>
        <w:pBdr>
          <w:bottom w:val="single" w:color="C8920A" w:sz="12" w:space="5"/>
        </w:pBdr>
        <w:spacing w:after="140" w:before="340"/>
      </w:pPr>
      <w:r>
        <w:rPr>
          <w:rFonts w:ascii="DM Serif Display" w:cs="DM Serif Display" w:eastAsia="DM Serif Display" w:hAnsi="DM Serif Display"/>
          <w:color w:val="1B2D4F"/>
          <w:sz w:val="30"/>
          <w:szCs w:val="30"/>
        </w:rPr>
        <w:t xml:space="preserve">2. The forward architecture</w:t>
      </w:r>
    </w:p>
    <w:p>
      <w:pPr>
        <w:spacing w:after="200"/>
      </w:pPr>
      <w:r>
        <w:rPr>
          <w:rFonts w:ascii="DM Sans" w:cs="DM Sans" w:eastAsia="DM Sans" w:hAnsi="DM Sans"/>
          <w:color w:val="222C3A"/>
          <w:sz w:val="21"/>
          <w:szCs w:val="21"/>
        </w:rPr>
        <w:t xml:space="preserve">Model Inversion begins where the backward architecture ends. An authoritative model records intended state as a first-class artifact: what exists, how it is connected, who owns it, what states are permitted, what changes are allowed. Connected change — proposed by a person, a pipeline, or an AI system — is evaluated against that model </w:t>
      </w:r>
      <w:r>
        <w:rPr>
          <w:rFonts w:ascii="DM Sans" w:cs="DM Sans" w:eastAsia="DM Sans" w:hAnsi="DM Sans"/>
          <w:i/>
          <w:iCs/>
          <w:color w:val="222C3A"/>
          <w:sz w:val="21"/>
          <w:szCs w:val="21"/>
        </w:rPr>
        <w:t xml:space="preserve">before execution</w:t>
      </w:r>
      <w:r>
        <w:rPr>
          <w:rFonts w:ascii="DM Sans" w:cs="DM Sans" w:eastAsia="DM Sans" w:hAnsi="DM Sans"/>
          <w:color w:val="222C3A"/>
          <w:sz w:val="21"/>
          <w:szCs w:val="21"/>
        </w:rPr>
        <w:t xml:space="preserve">. What is admissible runs. What is not, does not, with a stated reason.</w:t>
      </w:r>
    </w:p>
    <w:p>
      <w:pPr>
        <w:spacing w:after="200"/>
      </w:pPr>
      <w:r>
        <w:rPr>
          <w:rFonts w:ascii="DM Sans" w:cs="DM Sans" w:eastAsia="DM Sans" w:hAnsi="DM Sans"/>
          <w:color w:val="222C3A"/>
          <w:sz w:val="21"/>
          <w:szCs w:val="21"/>
        </w:rPr>
        <w:t xml:space="preserve">Observability then does something it has never been positioned to do: it verifies. Telemetry stops being the primary evidence of what the environment is doing and becomes confirmation that the resulting state and behavior match what the model intended. The same instruments, the same data — but the question they answer changes from </w:t>
      </w:r>
      <w:r>
        <w:rPr>
          <w:rFonts w:ascii="DM Sans" w:cs="DM Sans" w:eastAsia="DM Sans" w:hAnsi="DM Sans"/>
          <w:i/>
          <w:iCs/>
          <w:color w:val="222C3A"/>
          <w:sz w:val="21"/>
          <w:szCs w:val="21"/>
        </w:rPr>
        <w:t xml:space="preserve">what happened?</w:t>
      </w:r>
      <w:r>
        <w:rPr>
          <w:rFonts w:ascii="DM Sans" w:cs="DM Sans" w:eastAsia="DM Sans" w:hAnsi="DM Sans"/>
          <w:color w:val="222C3A"/>
          <w:sz w:val="21"/>
          <w:szCs w:val="21"/>
        </w:rPr>
        <w:t xml:space="preserve"> to </w:t>
      </w:r>
      <w:r>
        <w:rPr>
          <w:rFonts w:ascii="DM Sans" w:cs="DM Sans" w:eastAsia="DM Sans" w:hAnsi="DM Sans"/>
          <w:i/>
          <w:iCs/>
          <w:color w:val="222C3A"/>
          <w:sz w:val="21"/>
          <w:szCs w:val="21"/>
        </w:rPr>
        <w:t xml:space="preserve">did what we intended happen?</w:t>
      </w:r>
      <w:r>
        <w:rPr>
          <w:rFonts w:ascii="DM Sans" w:cs="DM Sans" w:eastAsia="DM Sans" w:hAnsi="DM Sans"/>
          <w:color w:val="222C3A"/>
          <w:sz w:val="21"/>
          <w:szCs w:val="21"/>
        </w:rPr>
        <w:t xml:space="preserve"> The first question begins an investigation. The second one closes a loop.</w:t>
      </w:r>
    </w:p>
    <w:p>
      <w:pPr>
        <w:pBdr>
          <w:bottom w:val="single" w:color="C8920A" w:sz="12" w:space="5"/>
        </w:pBdr>
        <w:spacing w:after="140" w:before="340"/>
      </w:pPr>
      <w:r>
        <w:rPr>
          <w:rFonts w:ascii="DM Serif Display" w:cs="DM Serif Display" w:eastAsia="DM Serif Display" w:hAnsi="DM Serif Display"/>
          <w:color w:val="1B2D4F"/>
          <w:sz w:val="30"/>
          <w:szCs w:val="30"/>
        </w:rPr>
        <w:t xml:space="preserve">3. Why the term matters</w:t>
      </w:r>
    </w:p>
    <w:p>
      <w:pPr>
        <w:spacing w:after="200"/>
      </w:pPr>
      <w:r>
        <w:rPr>
          <w:rFonts w:ascii="DM Sans" w:cs="DM Sans" w:eastAsia="DM Sans" w:hAnsi="DM Sans"/>
          <w:color w:val="222C3A"/>
          <w:sz w:val="21"/>
          <w:szCs w:val="21"/>
        </w:rPr>
        <w:t xml:space="preserve">It would be easy to file this under improved monitoring, and that filing would miss the point entirely. Model Inversion describes a reversal in the operating architecture — where intent lives, when it is consulted, and what role evidence plays.</w:t>
      </w:r>
    </w:p>
    <w:p>
      <w:pPr>
        <w:spacing w:after="200"/>
      </w:pPr>
      <w:r>
        <w:rPr>
          <w:rFonts w:ascii="DM Sans" w:cs="DM Sans" w:eastAsia="DM Sans" w:hAnsi="DM Sans"/>
          <w:color w:val="222C3A"/>
          <w:sz w:val="21"/>
          <w:szCs w:val="21"/>
        </w:rPr>
        <w:t xml:space="preserve">The security consequence makes the reversal concrete: security shifts from reacting to observed events to preventing impermissible change and verifying approved outcomes. The forensic question — </w:t>
      </w:r>
      <w:r>
        <w:rPr>
          <w:rFonts w:ascii="DM Sans" w:cs="DM Sans" w:eastAsia="DM Sans" w:hAnsi="DM Sans"/>
          <w:i/>
          <w:iCs/>
          <w:color w:val="222C3A"/>
          <w:sz w:val="21"/>
          <w:szCs w:val="21"/>
        </w:rPr>
        <w:t xml:space="preserve">was this legitimate?</w:t>
      </w:r>
      <w:r>
        <w:rPr>
          <w:rFonts w:ascii="DM Sans" w:cs="DM Sans" w:eastAsia="DM Sans" w:hAnsi="DM Sans"/>
          <w:color w:val="222C3A"/>
          <w:sz w:val="21"/>
          <w:szCs w:val="21"/>
        </w:rPr>
        <w:t xml:space="preserve"> — largely dissolves, because legitimacy was decided before execution and the decision is on record. What remains for the event stream is the genuinely unexpected, which is exactly what an event stream should be for.</w:t>
      </w:r>
    </w:p>
    <w:p>
      <w:pPr>
        <w:spacing w:after="200"/>
      </w:pPr>
      <w:r>
        <w:rPr>
          <w:rFonts w:ascii="DM Sans" w:cs="DM Sans" w:eastAsia="DM Sans" w:hAnsi="DM Sans"/>
          <w:color w:val="222C3A"/>
          <w:sz w:val="21"/>
          <w:szCs w:val="21"/>
        </w:rPr>
        <w:t xml:space="preserve">The compression, for whiteboards: </w:t>
      </w:r>
      <w:r>
        <w:rPr>
          <w:rFonts w:ascii="DM Sans" w:cs="DM Sans" w:eastAsia="DM Sans" w:hAnsi="DM Sans"/>
          <w:b/>
          <w:bCs/>
          <w:color w:val="1B2D4F"/>
          <w:sz w:val="21"/>
          <w:szCs w:val="21"/>
        </w:rPr>
        <w:t xml:space="preserve">the model defines, the operating model governs, execution applies, observability verifies.</w:t>
      </w:r>
      <w:r>
        <w:rPr>
          <w:rFonts w:ascii="DM Sans" w:cs="DM Sans" w:eastAsia="DM Sans" w:hAnsi="DM Sans"/>
          <w:color w:val="222C3A"/>
          <w:sz w:val="21"/>
          <w:szCs w:val="21"/>
        </w:rPr>
        <w:t xml:space="preserve"> Each instrument does the one job it is actually suited to — and intent, for the first time, has an instrument of its own.</w:t>
      </w:r>
    </w:p>
    <w:p>
      <w:pPr>
        <w:spacing w:after="200"/>
      </w:pPr>
      <w:r>
        <w:rPr>
          <w:rFonts w:ascii="DM Sans" w:cs="DM Sans" w:eastAsia="DM Sans" w:hAnsi="DM Sans"/>
          <w:color w:val="222C3A"/>
          <w:sz w:val="21"/>
          <w:szCs w:val="21"/>
        </w:rPr>
        <w:t xml:space="preserve">The standard exists because that instrument has to be defined before it can be built: what an authoritative model must contain, how it stays current, and what it means for change to clear it. Model Inversion is what operating on the other side of that definition looks like.</w:t>
      </w:r>
    </w:p>
    <w:p>
      <w:pPr>
        <w:spacing w:after="200"/>
      </w:pPr>
      <w:r>
        <w:rPr>
          <w:rFonts w:ascii="DM Sans" w:cs="DM Sans" w:eastAsia="DM Sans" w:hAnsi="DM Sans"/>
          <w:i/>
          <w:iCs/>
          <w:color w:val="222C3A"/>
          <w:sz w:val="21"/>
          <w:szCs w:val="21"/>
        </w:rPr>
        <w:t xml:space="preserve">The Infrastructure Operating Model standard, including the Govern function and the requirements of an authoritative model, is maintained at [theiom.org/standard/](https://theiom.org/standard/). Related reading in the whitepaper library: [theiom.org/whitepapers/](https://theiom.org/whitepapers/).</w:t>
      </w:r>
    </w:p>
    <w:p>
      <w:pPr>
        <w:pBdr>
          <w:top w:val="single" w:color="D9D2C6" w:sz="4" w:space="12"/>
        </w:pBdr>
        <w:spacing w:before="400"/>
      </w:pPr>
      <w:r>
        <w:rPr>
          <w:rFonts w:ascii="DM Sans" w:cs="DM Sans" w:eastAsia="DM Sans" w:hAnsi="DM Sans"/>
          <w:i/>
          <w:iCs/>
          <w:color w:val="4A5568"/>
          <w:sz w:val="19"/>
          <w:szCs w:val="19"/>
        </w:rPr>
        <w:t xml:space="preserve">The IOM Standard is an open, vendor-neutral specification for modeling infrastructure intent, ownership, constraints, and meaning. Learn more at theIOM.org.</w:t>
      </w:r>
    </w:p>
    <w:sectPr>
      <w:pgSz w:w="12240" w:h="15840" w:orient="portrait"/>
      <w:pgMar w:top="1440" w:right="1584" w:bottom="1296" w:left="158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Inversion</dc:title>
  <dc:creator>The IOM Standard</dc:creator>
  <cp:lastModifiedBy>Un-named</cp:lastModifiedBy>
  <cp:revision>1</cp:revision>
  <dcterms:created xsi:type="dcterms:W3CDTF">2026-08-03T03:24:48.614Z</dcterms:created>
  <dcterms:modified xsi:type="dcterms:W3CDTF">2026-08-03T03:24:48.614Z</dcterms:modified>
</cp:coreProperties>
</file>

<file path=docProps/custom.xml><?xml version="1.0" encoding="utf-8"?>
<Properties xmlns="http://schemas.openxmlformats.org/officeDocument/2006/custom-properties" xmlns:vt="http://schemas.openxmlformats.org/officeDocument/2006/docPropsVTypes"/>
</file>